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D91B5" w14:textId="153E7EB1" w:rsidR="00A67D9D" w:rsidRPr="00D95BF6" w:rsidRDefault="00C452CC" w:rsidP="00D40B8A">
      <w:pPr>
        <w:pStyle w:val="Heading1"/>
      </w:pPr>
      <w:r>
        <w:t xml:space="preserve">Regional Rail Investment </w:t>
      </w:r>
      <w:r w:rsidR="000C02A4">
        <w:t>Decision-making</w:t>
      </w:r>
      <w:r>
        <w:t xml:space="preserve"> Framework</w:t>
      </w:r>
    </w:p>
    <w:p w14:paraId="68C675E0" w14:textId="77777777" w:rsidR="00F23AB0" w:rsidRDefault="00F23AB0" w:rsidP="00F23AB0">
      <w:pPr>
        <w:rPr>
          <w:b/>
          <w:bCs/>
        </w:rPr>
      </w:pPr>
    </w:p>
    <w:p w14:paraId="73A3C9B9" w14:textId="3E89B49E" w:rsidR="00F23AB0" w:rsidRDefault="002833AD" w:rsidP="00F23AB0">
      <w:r>
        <w:rPr>
          <w:b/>
          <w:bCs/>
        </w:rPr>
        <w:t>BACKGROUND</w:t>
      </w:r>
    </w:p>
    <w:p w14:paraId="6204731A" w14:textId="25FC0A66" w:rsidR="002833AD" w:rsidRDefault="002833AD" w:rsidP="00F23AB0">
      <w:r>
        <w:t>As part of the Triangle Rail Study co-sponsored by the Capital Area Metropolitan Planning Organization (CAMPO) and the Triangle West Transportation Planning Organization (TWTPO)</w:t>
      </w:r>
      <w:r w:rsidR="006C5DEC">
        <w:t xml:space="preserve">, the MPOs are seeking a framework for how to prioritize and invest in rail-related projects that </w:t>
      </w:r>
      <w:r w:rsidR="008B225D">
        <w:t xml:space="preserve">may be physically in one location or </w:t>
      </w:r>
      <w:r w:rsidR="00B5178D">
        <w:t>jurisdiction but</w:t>
      </w:r>
      <w:r w:rsidR="008B225D">
        <w:t xml:space="preserve"> provide benefits to </w:t>
      </w:r>
      <w:r w:rsidR="00D66AC5">
        <w:t xml:space="preserve">intercity passenger rail expansion in multiple jurisdictions. </w:t>
      </w:r>
    </w:p>
    <w:p w14:paraId="7D1A73D2" w14:textId="393F110A" w:rsidR="007A41C6" w:rsidRPr="00BC0E87" w:rsidRDefault="00BC0E87" w:rsidP="007A41C6">
      <w:r>
        <w:t xml:space="preserve">This memo proposes a series of principles </w:t>
      </w:r>
      <w:r w:rsidR="00E7228F">
        <w:t>as the</w:t>
      </w:r>
      <w:r w:rsidR="008356ED">
        <w:t xml:space="preserve"> </w:t>
      </w:r>
      <w:r w:rsidR="000C02A4">
        <w:t>decision-making</w:t>
      </w:r>
      <w:r w:rsidR="008356ED">
        <w:t xml:space="preserve"> framework </w:t>
      </w:r>
      <w:r w:rsidR="00033DA8">
        <w:t>that local policymakers</w:t>
      </w:r>
      <w:r w:rsidR="00E7228F">
        <w:t xml:space="preserve"> </w:t>
      </w:r>
      <w:r w:rsidR="008356ED">
        <w:t xml:space="preserve">should </w:t>
      </w:r>
      <w:r w:rsidR="00E7228F">
        <w:t>use</w:t>
      </w:r>
      <w:r w:rsidR="008356ED">
        <w:t xml:space="preserve"> </w:t>
      </w:r>
      <w:r w:rsidR="00033DA8">
        <w:t>to</w:t>
      </w:r>
      <w:r w:rsidR="008356ED">
        <w:t xml:space="preserve"> account for the </w:t>
      </w:r>
      <w:r w:rsidR="000C02A4">
        <w:t>opportunities</w:t>
      </w:r>
      <w:r w:rsidR="008356ED">
        <w:t xml:space="preserve"> and constraints </w:t>
      </w:r>
      <w:r w:rsidR="00B871F0">
        <w:t>that the Triangle region faces in building an intercity passenger rail network</w:t>
      </w:r>
      <w:r w:rsidR="00A81089">
        <w:t>.</w:t>
      </w:r>
    </w:p>
    <w:p w14:paraId="75A9B011" w14:textId="00C4C5E8" w:rsidR="00F97BC3" w:rsidRDefault="00E25404" w:rsidP="00F23AB0">
      <w:r>
        <w:rPr>
          <w:b/>
          <w:bCs/>
        </w:rPr>
        <w:t>PRINCIPLE ONE: UNDERSTAND THE FRA WORLDVIEW</w:t>
      </w:r>
    </w:p>
    <w:p w14:paraId="7147F2EC" w14:textId="3172794B" w:rsidR="00E25404" w:rsidRDefault="00FC483A" w:rsidP="00F23AB0">
      <w:r>
        <w:t xml:space="preserve">While the Triangle region </w:t>
      </w:r>
      <w:r w:rsidR="006B4556">
        <w:t>has significant familiarity pursuing rail and Bus Rapid Transit projects with the Federal Transit Administration (FTA), any incremental intercity passenger rail improvement is likely to be delivered under Federal Railroad Administration (FRA) rules and regulations</w:t>
      </w:r>
      <w:r w:rsidR="00EE04FB">
        <w:t>. FRA prioritizes and emphasizes:</w:t>
      </w:r>
    </w:p>
    <w:p w14:paraId="33724D8B" w14:textId="3BFFF831" w:rsidR="00EE04FB" w:rsidRDefault="00EE04FB" w:rsidP="00EE04FB">
      <w:pPr>
        <w:pStyle w:val="ListParagraph"/>
        <w:numPr>
          <w:ilvl w:val="0"/>
          <w:numId w:val="4"/>
        </w:numPr>
      </w:pPr>
      <w:r>
        <w:t>Connections BETWEEN different metropolitan areas, not connectio</w:t>
      </w:r>
      <w:r w:rsidR="00440A53">
        <w:t>n</w:t>
      </w:r>
      <w:r>
        <w:t>s WITHIN</w:t>
      </w:r>
      <w:r w:rsidR="00440A53">
        <w:t xml:space="preserve"> one metropolitan area (the latter is typically commuter rail under FTA oversight)</w:t>
      </w:r>
      <w:r w:rsidR="00365D25">
        <w:t>.</w:t>
      </w:r>
    </w:p>
    <w:p w14:paraId="1DA0BEA6" w14:textId="53A12206" w:rsidR="0086791F" w:rsidRDefault="0086791F" w:rsidP="00EE04FB">
      <w:pPr>
        <w:pStyle w:val="ListParagraph"/>
        <w:numPr>
          <w:ilvl w:val="0"/>
          <w:numId w:val="4"/>
        </w:numPr>
      </w:pPr>
      <w:r>
        <w:t>Connections of new or expanded intercity passenger rail to other parts of the national intercity passenger rail network</w:t>
      </w:r>
      <w:r w:rsidR="00365D25">
        <w:t>.</w:t>
      </w:r>
    </w:p>
    <w:p w14:paraId="4C4AA7C9" w14:textId="2B09F2C6" w:rsidR="00DE2FE2" w:rsidRDefault="00D83E19" w:rsidP="00EE04FB">
      <w:pPr>
        <w:pStyle w:val="ListParagraph"/>
        <w:numPr>
          <w:ilvl w:val="0"/>
          <w:numId w:val="4"/>
        </w:numPr>
      </w:pPr>
      <w:r>
        <w:t>Preparedness and coordination among stakeholders</w:t>
      </w:r>
      <w:r w:rsidR="00C346F3">
        <w:t xml:space="preserve"> are key</w:t>
      </w:r>
      <w:r>
        <w:t>; ridership projections are of lower importance</w:t>
      </w:r>
      <w:r w:rsidR="00847059">
        <w:t xml:space="preserve"> than with FTA</w:t>
      </w:r>
      <w:r w:rsidR="00365D25">
        <w:t>.</w:t>
      </w:r>
    </w:p>
    <w:p w14:paraId="73E1989C" w14:textId="625ACC1F" w:rsidR="0086791F" w:rsidRPr="00493CC4" w:rsidRDefault="00487244" w:rsidP="00487244">
      <w:pPr>
        <w:rPr>
          <w:b/>
          <w:bCs/>
        </w:rPr>
      </w:pPr>
      <w:r w:rsidRPr="00493CC4">
        <w:rPr>
          <w:b/>
          <w:bCs/>
        </w:rPr>
        <w:t>PRINCIPLE TWO: UNDERSTAND</w:t>
      </w:r>
      <w:r w:rsidR="00604EFD" w:rsidRPr="00493CC4">
        <w:rPr>
          <w:b/>
          <w:bCs/>
        </w:rPr>
        <w:t xml:space="preserve"> FREIGHT RAIL OPERATOR WORLDVIEW</w:t>
      </w:r>
    </w:p>
    <w:p w14:paraId="67240F62" w14:textId="3E2D8F58" w:rsidR="00604EFD" w:rsidRDefault="00D2727C" w:rsidP="00487244">
      <w:r>
        <w:t>Norfolk Southern (</w:t>
      </w:r>
      <w:r w:rsidR="00604EFD">
        <w:t>NS</w:t>
      </w:r>
      <w:r>
        <w:t>)</w:t>
      </w:r>
      <w:r w:rsidR="00604EFD">
        <w:t xml:space="preserve"> and </w:t>
      </w:r>
      <w:r w:rsidR="00E90201">
        <w:t>Chessie System and Seaboard System (</w:t>
      </w:r>
      <w:r w:rsidR="00604EFD">
        <w:t>CSX</w:t>
      </w:r>
      <w:r w:rsidR="00E90201">
        <w:t>)</w:t>
      </w:r>
      <w:r w:rsidR="00604EFD">
        <w:t xml:space="preserve"> are major players and dispatchers of rail traffic </w:t>
      </w:r>
      <w:r w:rsidR="00983E9F">
        <w:t xml:space="preserve">in </w:t>
      </w:r>
      <w:r w:rsidR="00604EFD">
        <w:t xml:space="preserve">the Triangle region and </w:t>
      </w:r>
      <w:r w:rsidR="00374B0A">
        <w:t xml:space="preserve">statewide. </w:t>
      </w:r>
      <w:r w:rsidR="00493CC4">
        <w:t>Other smaller owner-operators are present, and the views of</w:t>
      </w:r>
      <w:r w:rsidR="008202ED">
        <w:t xml:space="preserve"> how much passenger rail development is beneficial may vary</w:t>
      </w:r>
      <w:r w:rsidR="00F2553C">
        <w:t xml:space="preserve">. </w:t>
      </w:r>
      <w:r w:rsidR="008202ED">
        <w:t>This study’s T</w:t>
      </w:r>
      <w:r w:rsidR="00210F42">
        <w:t xml:space="preserve">echnical </w:t>
      </w:r>
      <w:r w:rsidR="008202ED">
        <w:t>S</w:t>
      </w:r>
      <w:r w:rsidR="00210F42">
        <w:t xml:space="preserve">teering </w:t>
      </w:r>
      <w:r w:rsidR="008202ED">
        <w:t>C</w:t>
      </w:r>
      <w:r w:rsidR="00210F42">
        <w:t>ommittee (TSC)</w:t>
      </w:r>
      <w:r w:rsidR="008202ED">
        <w:t xml:space="preserve"> meetings have highlighted:</w:t>
      </w:r>
    </w:p>
    <w:p w14:paraId="06FC6C41" w14:textId="24733BBD" w:rsidR="008202ED" w:rsidRDefault="008202ED" w:rsidP="008202ED">
      <w:pPr>
        <w:pStyle w:val="ListParagraph"/>
        <w:numPr>
          <w:ilvl w:val="0"/>
          <w:numId w:val="5"/>
        </w:numPr>
      </w:pPr>
      <w:r>
        <w:t xml:space="preserve">Corridors where a freight railroad and the public sector already have a passenger rail operating agreement are inherently easier to work </w:t>
      </w:r>
      <w:r w:rsidR="00740721">
        <w:t>on service expansion than a corridor where no passenger rail operating agreement exists.</w:t>
      </w:r>
    </w:p>
    <w:p w14:paraId="1B9FF5A8" w14:textId="0DB2DA7C" w:rsidR="00740721" w:rsidRDefault="003E0C3E" w:rsidP="008202ED">
      <w:pPr>
        <w:pStyle w:val="ListParagraph"/>
        <w:numPr>
          <w:ilvl w:val="0"/>
          <w:numId w:val="5"/>
        </w:numPr>
      </w:pPr>
      <w:r>
        <w:t xml:space="preserve">There is acceptance on the part of NS that the </w:t>
      </w:r>
      <w:r w:rsidR="004B1157">
        <w:t>NC</w:t>
      </w:r>
      <w:r>
        <w:t>-line between Raleigh and Greensboro needs capital improvements for both freight and passenger rail</w:t>
      </w:r>
      <w:r w:rsidR="002E053C">
        <w:t>.</w:t>
      </w:r>
    </w:p>
    <w:p w14:paraId="4745F9E0" w14:textId="4AADA8E5" w:rsidR="003E0C3E" w:rsidRDefault="003E0C3E" w:rsidP="008202ED">
      <w:pPr>
        <w:pStyle w:val="ListParagraph"/>
        <w:numPr>
          <w:ilvl w:val="0"/>
          <w:numId w:val="5"/>
        </w:numPr>
      </w:pPr>
      <w:r>
        <w:t>The</w:t>
      </w:r>
      <w:r w:rsidR="001F0247">
        <w:t xml:space="preserve"> line from </w:t>
      </w:r>
      <w:r w:rsidR="00666C4E">
        <w:t>Fayetteville</w:t>
      </w:r>
      <w:r w:rsidR="001F0247">
        <w:t xml:space="preserve"> to Fuquay-Varina was purchased by RJ Corman Railroad Group in 2022</w:t>
      </w:r>
      <w:r w:rsidR="00666C4E">
        <w:t>, while leasing the 20 miles from Fuquay Varina to Raleigh</w:t>
      </w:r>
      <w:r w:rsidR="00F64B92">
        <w:t xml:space="preserve"> from NS</w:t>
      </w:r>
      <w:r w:rsidR="00666C4E">
        <w:t>,</w:t>
      </w:r>
      <w:r w:rsidR="001F0247">
        <w:t xml:space="preserve"> and they are very interested in passenger rail</w:t>
      </w:r>
      <w:r w:rsidR="0032501B">
        <w:t xml:space="preserve"> from Raleigh to Fayetteville.</w:t>
      </w:r>
    </w:p>
    <w:p w14:paraId="34CD5A2F" w14:textId="5F949D14" w:rsidR="00666C4E" w:rsidRPr="001075EB" w:rsidRDefault="00666C4E" w:rsidP="00666C4E">
      <w:pPr>
        <w:rPr>
          <w:b/>
          <w:bCs/>
        </w:rPr>
      </w:pPr>
      <w:r w:rsidRPr="001075EB">
        <w:rPr>
          <w:b/>
          <w:bCs/>
        </w:rPr>
        <w:lastRenderedPageBreak/>
        <w:t>PRINCIPLE THREE: UNDERSTAND NCDOT RAIL OBJECTIVES</w:t>
      </w:r>
    </w:p>
    <w:p w14:paraId="7909AD1C" w14:textId="57A172FA" w:rsidR="009044BE" w:rsidRDefault="009044BE" w:rsidP="00666C4E">
      <w:r>
        <w:t xml:space="preserve">The NCDOT Rail Division has been among the most successful state DOT rail programs in the USA </w:t>
      </w:r>
      <w:r w:rsidR="00373999">
        <w:t xml:space="preserve">for the past two decades, securing $545 million in 2008-2009 to build out the Piedmont Improvement Program between Raleigh and Charlotte, and $1 billion </w:t>
      </w:r>
      <w:r w:rsidR="001075EB">
        <w:t xml:space="preserve">of federal investment </w:t>
      </w:r>
      <w:r w:rsidR="00373999">
        <w:t xml:space="preserve">in 2024 </w:t>
      </w:r>
      <w:r w:rsidR="001075EB">
        <w:t xml:space="preserve">to extend the Piedmont </w:t>
      </w:r>
      <w:r w:rsidR="001B7CB4">
        <w:t>service</w:t>
      </w:r>
      <w:r w:rsidR="008D7654">
        <w:t xml:space="preserve"> </w:t>
      </w:r>
      <w:r w:rsidR="001075EB">
        <w:t>to Wake Forest as part of the buildout of the Southeast High Speed Rail corridor</w:t>
      </w:r>
      <w:r w:rsidR="00D92748">
        <w:t xml:space="preserve">. </w:t>
      </w:r>
      <w:r w:rsidR="008E5AE2">
        <w:t>In this study, NCDOT Rail has shared:</w:t>
      </w:r>
    </w:p>
    <w:p w14:paraId="2079B228" w14:textId="58C3AF07" w:rsidR="008E5AE2" w:rsidRDefault="008E5AE2" w:rsidP="008E5AE2">
      <w:pPr>
        <w:pStyle w:val="ListParagraph"/>
        <w:numPr>
          <w:ilvl w:val="0"/>
          <w:numId w:val="6"/>
        </w:numPr>
      </w:pPr>
      <w:r>
        <w:t xml:space="preserve">That </w:t>
      </w:r>
      <w:r w:rsidR="001F48EF">
        <w:t>potential Service Development Plans o</w:t>
      </w:r>
      <w:r w:rsidR="00255AD5">
        <w:t>f</w:t>
      </w:r>
      <w:r w:rsidR="001F48EF">
        <w:t xml:space="preserve"> rail projects on lines without Corridor ID grants from FRA are functionally 2 years behind lines WITH Corridor ID </w:t>
      </w:r>
      <w:r w:rsidR="00E90471">
        <w:t>grants. For</w:t>
      </w:r>
      <w:r w:rsidR="00D43F3B">
        <w:t xml:space="preserve"> example, service to Sanford would take </w:t>
      </w:r>
      <w:r w:rsidR="00B110B8">
        <w:t xml:space="preserve">2 years </w:t>
      </w:r>
      <w:r w:rsidR="00D43F3B">
        <w:t>longer than service to Clayton because Clayton is in the Raleigh to Wilmington Corridor ID</w:t>
      </w:r>
      <w:r w:rsidR="00B110B8">
        <w:t xml:space="preserve"> grant.</w:t>
      </w:r>
    </w:p>
    <w:p w14:paraId="05AC356F" w14:textId="15608C3E" w:rsidR="00B110B8" w:rsidRDefault="00B110B8" w:rsidP="0067475E">
      <w:pPr>
        <w:pStyle w:val="ListParagraph"/>
        <w:numPr>
          <w:ilvl w:val="1"/>
          <w:numId w:val="6"/>
        </w:numPr>
      </w:pPr>
      <w:r>
        <w:t>Mebane to Frankl</w:t>
      </w:r>
      <w:r w:rsidR="003562E1">
        <w:t>inton would be a top priority for NCDOT since they have an operating agreement with NS for Mebane to Raleigh and they will own the S-Line to Franklinton.</w:t>
      </w:r>
    </w:p>
    <w:p w14:paraId="699196A3" w14:textId="69323FED" w:rsidR="00074C6D" w:rsidRDefault="00074C6D" w:rsidP="0067475E">
      <w:pPr>
        <w:pStyle w:val="ListParagraph"/>
        <w:numPr>
          <w:ilvl w:val="1"/>
          <w:numId w:val="6"/>
        </w:numPr>
      </w:pPr>
      <w:r>
        <w:t>A second priority would be Raleigh to Fayetteville due to cooperative rail line owner</w:t>
      </w:r>
      <w:r w:rsidR="00724217">
        <w:t xml:space="preserve"> as mentioned above</w:t>
      </w:r>
      <w:r>
        <w:t>.</w:t>
      </w:r>
    </w:p>
    <w:p w14:paraId="2B813579" w14:textId="17D9EDC1" w:rsidR="00074C6D" w:rsidRDefault="00074C6D" w:rsidP="0067475E">
      <w:pPr>
        <w:pStyle w:val="ListParagraph"/>
        <w:numPr>
          <w:ilvl w:val="1"/>
          <w:numId w:val="6"/>
        </w:numPr>
      </w:pPr>
      <w:r>
        <w:t>Investment towards Clayton/Selma would likely be third.</w:t>
      </w:r>
    </w:p>
    <w:p w14:paraId="1F7CFA71" w14:textId="6E2FD620" w:rsidR="006A23EA" w:rsidRDefault="00A9612C" w:rsidP="006A23EA">
      <w:pPr>
        <w:pStyle w:val="ListParagraph"/>
        <w:numPr>
          <w:ilvl w:val="0"/>
          <w:numId w:val="6"/>
        </w:numPr>
      </w:pPr>
      <w:r>
        <w:t xml:space="preserve">They see a benefit in </w:t>
      </w:r>
      <w:r w:rsidR="006A23EA">
        <w:t>invest</w:t>
      </w:r>
      <w:r>
        <w:t xml:space="preserve">ing </w:t>
      </w:r>
      <w:r w:rsidR="006A23EA">
        <w:t xml:space="preserve">in doubletracking </w:t>
      </w:r>
      <w:r w:rsidR="008A6D75">
        <w:t>projects</w:t>
      </w:r>
      <w:r>
        <w:t xml:space="preserve"> for </w:t>
      </w:r>
      <w:r w:rsidR="006A23EA">
        <w:t xml:space="preserve">sections of rail from Mebane to Raleigh </w:t>
      </w:r>
      <w:r>
        <w:t xml:space="preserve">as </w:t>
      </w:r>
      <w:r w:rsidR="00DA3894">
        <w:t xml:space="preserve">it </w:t>
      </w:r>
      <w:r w:rsidR="006A23EA">
        <w:t xml:space="preserve">will </w:t>
      </w:r>
      <w:r w:rsidR="002D5AF3">
        <w:t xml:space="preserve">create momentum </w:t>
      </w:r>
      <w:r w:rsidR="0031171F">
        <w:t xml:space="preserve">to build out projects for service concepts that overlap with this </w:t>
      </w:r>
      <w:r w:rsidR="00466002">
        <w:t>corridor</w:t>
      </w:r>
    </w:p>
    <w:p w14:paraId="15BA7D10" w14:textId="455315ED" w:rsidR="009B4388" w:rsidRDefault="009B4388" w:rsidP="008E5AE2">
      <w:pPr>
        <w:pStyle w:val="ListParagraph"/>
        <w:numPr>
          <w:ilvl w:val="0"/>
          <w:numId w:val="6"/>
        </w:numPr>
      </w:pPr>
      <w:r>
        <w:t xml:space="preserve">NCDOT has identified </w:t>
      </w:r>
      <w:r w:rsidR="004532E8">
        <w:t xml:space="preserve">that their </w:t>
      </w:r>
      <w:r w:rsidR="00FD2213">
        <w:t>Corridor ID service from Winston-Salem to Raleigh could go on to Wilmington</w:t>
      </w:r>
    </w:p>
    <w:p w14:paraId="58BD8D3D" w14:textId="6E132554" w:rsidR="00FD2213" w:rsidRDefault="00FD2213" w:rsidP="008E5AE2">
      <w:pPr>
        <w:pStyle w:val="ListParagraph"/>
        <w:numPr>
          <w:ilvl w:val="0"/>
          <w:numId w:val="6"/>
        </w:numPr>
      </w:pPr>
      <w:r>
        <w:t xml:space="preserve">That </w:t>
      </w:r>
      <w:r w:rsidR="003065AE">
        <w:t>projects within NC that connect urban and rural areas resonate with the NC General Assembly</w:t>
      </w:r>
    </w:p>
    <w:p w14:paraId="352B759B" w14:textId="6208C973" w:rsidR="00831D48" w:rsidRDefault="00831D48" w:rsidP="00831D48">
      <w:pPr>
        <w:rPr>
          <w:b/>
          <w:bCs/>
        </w:rPr>
      </w:pPr>
      <w:r>
        <w:rPr>
          <w:b/>
          <w:bCs/>
        </w:rPr>
        <w:t>PRINCIPLE FOUR: UNDERSTAND HO</w:t>
      </w:r>
      <w:r w:rsidR="00AB2239">
        <w:rPr>
          <w:b/>
          <w:bCs/>
        </w:rPr>
        <w:t xml:space="preserve">W THE NCDOT SPOT PROCESS SCORES </w:t>
      </w:r>
      <w:r>
        <w:rPr>
          <w:b/>
          <w:bCs/>
        </w:rPr>
        <w:t>RAIL PROJECTS</w:t>
      </w:r>
    </w:p>
    <w:p w14:paraId="1C8B232C" w14:textId="72225B41" w:rsidR="00AB2239" w:rsidRDefault="00AB2239" w:rsidP="00831D48">
      <w:r>
        <w:t xml:space="preserve">The primary </w:t>
      </w:r>
      <w:r w:rsidR="00C04CB3">
        <w:t xml:space="preserve">method for receiving state funds for rail projects is the NCDOT </w:t>
      </w:r>
      <w:r w:rsidR="00AC0565">
        <w:t xml:space="preserve">Strategic Transportation Prioritization </w:t>
      </w:r>
      <w:r w:rsidR="009D5ABE">
        <w:t>(SPOT) process</w:t>
      </w:r>
      <w:r w:rsidR="0043270F">
        <w:t xml:space="preserve">. </w:t>
      </w:r>
      <w:r w:rsidR="00774317">
        <w:t xml:space="preserve">While there are several </w:t>
      </w:r>
      <w:r w:rsidR="00355C9B">
        <w:t xml:space="preserve">Specific Improvement Types (SIT codes) for rail projects, </w:t>
      </w:r>
      <w:r w:rsidR="004C14C8">
        <w:t xml:space="preserve">intercity passenger rail-focused projects </w:t>
      </w:r>
      <w:r w:rsidR="000D3286">
        <w:t xml:space="preserve">may only be funded at the Regional </w:t>
      </w:r>
      <w:r w:rsidR="008B6A70">
        <w:t xml:space="preserve">Impact </w:t>
      </w:r>
      <w:r w:rsidR="000D3286">
        <w:t>and Division</w:t>
      </w:r>
      <w:r w:rsidR="008B6A70">
        <w:t xml:space="preserve"> Needs</w:t>
      </w:r>
      <w:r w:rsidR="000D3286">
        <w:t xml:space="preserve"> Tiers of funding, while freight rail investments may also be prioritized at the Statewide </w:t>
      </w:r>
      <w:r w:rsidR="00B4213D">
        <w:t xml:space="preserve">Mobility </w:t>
      </w:r>
      <w:r w:rsidR="000D3286">
        <w:t>Tier.</w:t>
      </w:r>
      <w:r w:rsidR="00C46C6E">
        <w:t xml:space="preserve"> In this study, the project team has learned:</w:t>
      </w:r>
    </w:p>
    <w:p w14:paraId="0596B4EA" w14:textId="0AEB8A11" w:rsidR="00C46C6E" w:rsidRDefault="00E93947" w:rsidP="00C46C6E">
      <w:pPr>
        <w:pStyle w:val="ListParagraph"/>
        <w:numPr>
          <w:ilvl w:val="0"/>
          <w:numId w:val="7"/>
        </w:numPr>
      </w:pPr>
      <w:r>
        <w:t xml:space="preserve">The current SPOT </w:t>
      </w:r>
      <w:r w:rsidR="008B6A70">
        <w:t xml:space="preserve">Rail Mode scoring methodology </w:t>
      </w:r>
      <w:r>
        <w:t>process tends to reward</w:t>
      </w:r>
      <w:r w:rsidR="00973DAD">
        <w:t xml:space="preserve"> investing in EXISTING passenger rail </w:t>
      </w:r>
      <w:r w:rsidR="001C075E">
        <w:t>corridors</w:t>
      </w:r>
      <w:r w:rsidR="00973DAD">
        <w:t xml:space="preserve"> over developing new track and </w:t>
      </w:r>
      <w:r w:rsidR="001C075E">
        <w:t>services outside of current routes</w:t>
      </w:r>
      <w:r w:rsidR="00973DAD">
        <w:t xml:space="preserve">. </w:t>
      </w:r>
    </w:p>
    <w:p w14:paraId="3D1A5048" w14:textId="749EB47F" w:rsidR="00BF67E5" w:rsidRDefault="00BF67E5" w:rsidP="00C46C6E">
      <w:pPr>
        <w:pStyle w:val="ListParagraph"/>
        <w:numPr>
          <w:ilvl w:val="0"/>
          <w:numId w:val="7"/>
        </w:numPr>
      </w:pPr>
      <w:r>
        <w:t xml:space="preserve">Safety projects, particularly grade separations, score well for state funds. Those grade separations that also close </w:t>
      </w:r>
      <w:r w:rsidR="00181907">
        <w:t>two or more</w:t>
      </w:r>
      <w:r>
        <w:t xml:space="preserve"> at-grade crossings are more likely to win concurrent support from freight railroads.</w:t>
      </w:r>
    </w:p>
    <w:p w14:paraId="022314CE" w14:textId="3ADF0E14" w:rsidR="00BF67E5" w:rsidRDefault="00463CEC" w:rsidP="00C46C6E">
      <w:pPr>
        <w:pStyle w:val="ListParagraph"/>
        <w:numPr>
          <w:ilvl w:val="0"/>
          <w:numId w:val="7"/>
        </w:numPr>
      </w:pPr>
      <w:r>
        <w:t>Putting local money into building rail stations ahead of t</w:t>
      </w:r>
      <w:r w:rsidR="00B2352C">
        <w:t xml:space="preserve">rack improvements may make it easier to get funds for track improvements later. </w:t>
      </w:r>
      <w:r w:rsidR="00A52368">
        <w:t>Intercity passenger s</w:t>
      </w:r>
      <w:r w:rsidR="00B2352C">
        <w:t xml:space="preserve">tations within 16 miles of other stations are more likely to cannibalize existing station ridership in models than </w:t>
      </w:r>
      <w:r w:rsidR="00A52368">
        <w:t xml:space="preserve">primarily </w:t>
      </w:r>
      <w:r w:rsidR="00B2352C">
        <w:t>add</w:t>
      </w:r>
      <w:r w:rsidR="00A52368">
        <w:t xml:space="preserve"> new</w:t>
      </w:r>
      <w:r w:rsidR="00B2352C">
        <w:t xml:space="preserve"> ridership.</w:t>
      </w:r>
    </w:p>
    <w:p w14:paraId="78F72671" w14:textId="77777777" w:rsidR="00185E3D" w:rsidRDefault="00185E3D">
      <w:pPr>
        <w:rPr>
          <w:b/>
          <w:bCs/>
        </w:rPr>
      </w:pPr>
      <w:r>
        <w:rPr>
          <w:b/>
          <w:bCs/>
        </w:rPr>
        <w:br w:type="page"/>
      </w:r>
    </w:p>
    <w:p w14:paraId="3E962DF8" w14:textId="1BADE356" w:rsidR="0073396F" w:rsidRPr="00733D89" w:rsidRDefault="0073396F" w:rsidP="004532E8">
      <w:pPr>
        <w:rPr>
          <w:b/>
          <w:bCs/>
        </w:rPr>
      </w:pPr>
      <w:r w:rsidRPr="00733D89">
        <w:rPr>
          <w:b/>
          <w:bCs/>
        </w:rPr>
        <w:lastRenderedPageBreak/>
        <w:t>PRINCIPLE FIVE: UNDERSTAND RELATIVE FEDERAL FUNDING VIABILITY</w:t>
      </w:r>
    </w:p>
    <w:p w14:paraId="23C353F3" w14:textId="2427ACE3" w:rsidR="00E31B85" w:rsidRDefault="00584943" w:rsidP="004532E8">
      <w:r w:rsidRPr="00584943">
        <w:t>This study</w:t>
      </w:r>
      <w:r>
        <w:t xml:space="preserve"> was conducted between October of 2024 and June 2025, </w:t>
      </w:r>
      <w:r w:rsidR="00E36A8B">
        <w:t>a</w:t>
      </w:r>
      <w:r w:rsidR="0011496B">
        <w:t xml:space="preserve"> timeframe which spanned the transition from the Biden </w:t>
      </w:r>
      <w:r w:rsidR="00FC76F1">
        <w:t>a</w:t>
      </w:r>
      <w:r w:rsidR="0011496B">
        <w:t>dministration</w:t>
      </w:r>
      <w:r w:rsidR="00271D27">
        <w:t xml:space="preserve"> to the second Trump </w:t>
      </w:r>
      <w:r w:rsidR="00421D7A">
        <w:t>administration and</w:t>
      </w:r>
      <w:r w:rsidR="005F2462">
        <w:t xml:space="preserve"> reflected </w:t>
      </w:r>
      <w:r w:rsidR="004E1942">
        <w:t xml:space="preserve">a period of policy dynamism and </w:t>
      </w:r>
      <w:r w:rsidR="00FA170A">
        <w:t xml:space="preserve">significant </w:t>
      </w:r>
      <w:r w:rsidR="004E1942">
        <w:t xml:space="preserve">change in public policy </w:t>
      </w:r>
      <w:r w:rsidR="00EA1031">
        <w:t>across many federal agencies</w:t>
      </w:r>
      <w:r w:rsidR="004E1942">
        <w:t>.</w:t>
      </w:r>
    </w:p>
    <w:p w14:paraId="38B8720D" w14:textId="7F17749D" w:rsidR="00E31B85" w:rsidRDefault="00E31B85" w:rsidP="00E31B85">
      <w:r w:rsidRPr="00771255">
        <w:t xml:space="preserve">The Trump Administration has eliminated secondary grant award </w:t>
      </w:r>
      <w:r w:rsidR="00BD1B49" w:rsidRPr="00771255">
        <w:t>criteria</w:t>
      </w:r>
      <w:r w:rsidRPr="00771255">
        <w:t xml:space="preserve"> previously adopted by the Biden Administration. It is possible that Congress could make statutory changes to grant programs, </w:t>
      </w:r>
      <w:r w:rsidR="00EC2475" w:rsidRPr="00771255">
        <w:t>particularly</w:t>
      </w:r>
      <w:r w:rsidRPr="00771255">
        <w:t xml:space="preserve"> as part of a transportation reauthorization bill to replace the IIJA when it expires on Sept. 30, 2026. Any statutory changes enacted by Congress could have a substantial impact on programs, including program definitions and eligibility and merit criteria applied to award grants.</w:t>
      </w:r>
    </w:p>
    <w:p w14:paraId="52C02B18" w14:textId="77777777" w:rsidR="004A149B" w:rsidRPr="00584943" w:rsidRDefault="004A149B" w:rsidP="004A149B">
      <w:r>
        <w:t>The new administration under Transportation Secretary Sean Duffy did not release any Notice Of Funding Opportunity (NOFO) grant announcements during the first six months of 2025.</w:t>
      </w:r>
    </w:p>
    <w:p w14:paraId="31422A49" w14:textId="7F9DC37C" w:rsidR="004A149B" w:rsidRDefault="004A149B" w:rsidP="004A149B">
      <w:r>
        <w:t xml:space="preserve">Therefore, for the federal funding screening, the project team </w:t>
      </w:r>
      <w:r w:rsidRPr="00771255">
        <w:t xml:space="preserve">evaluated projects against existing federal award </w:t>
      </w:r>
      <w:r w:rsidR="008D13C6" w:rsidRPr="00771255">
        <w:t>criteria</w:t>
      </w:r>
      <w:r w:rsidRPr="00771255">
        <w:t xml:space="preserve"> based on the statutory requirements for each grant program. </w:t>
      </w:r>
    </w:p>
    <w:p w14:paraId="3D778A1A" w14:textId="3392FBF3" w:rsidR="006E2BFA" w:rsidRDefault="00415B03" w:rsidP="004A149B">
      <w:r>
        <w:t xml:space="preserve">Using this </w:t>
      </w:r>
      <w:r w:rsidR="001C33C2">
        <w:t>approach</w:t>
      </w:r>
      <w:r>
        <w:t xml:space="preserve"> </w:t>
      </w:r>
      <w:r w:rsidR="004B2509">
        <w:t xml:space="preserve">and </w:t>
      </w:r>
      <w:r w:rsidR="006E2BFA">
        <w:t xml:space="preserve">based on the Service Concepts identified in </w:t>
      </w:r>
      <w:r w:rsidR="006E2BFA" w:rsidRPr="00604C20">
        <w:rPr>
          <w:b/>
        </w:rPr>
        <w:t xml:space="preserve">Figure </w:t>
      </w:r>
      <w:r w:rsidR="009962B8" w:rsidRPr="00604C20">
        <w:rPr>
          <w:b/>
        </w:rPr>
        <w:t>1</w:t>
      </w:r>
      <w:r w:rsidR="006E2BFA">
        <w:t>,</w:t>
      </w:r>
      <w:r w:rsidR="009962B8">
        <w:t xml:space="preserve"> </w:t>
      </w:r>
      <w:r w:rsidR="001004D7">
        <w:t xml:space="preserve">the project team </w:t>
      </w:r>
      <w:r w:rsidR="00355D2B">
        <w:t xml:space="preserve">believes that </w:t>
      </w:r>
      <w:r w:rsidR="001004D7">
        <w:t>corridors which have</w:t>
      </w:r>
      <w:r w:rsidR="00D22900">
        <w:t xml:space="preserve"> existing (Amtrak Carolinian, Piedmont, </w:t>
      </w:r>
      <w:r w:rsidR="001F048A">
        <w:t>&amp; Floridian services) or planned (S-Line to Wake Forest) servic</w:t>
      </w:r>
      <w:r w:rsidR="00355D2B">
        <w:t>e are most likely to attract Federal funding in the near term.</w:t>
      </w:r>
    </w:p>
    <w:p w14:paraId="33616FDB" w14:textId="5C2CC3A4" w:rsidR="00355D2B" w:rsidRDefault="00355D2B" w:rsidP="004A149B">
      <w:r>
        <w:t xml:space="preserve">This means that among the Service Concepts studied, </w:t>
      </w:r>
      <w:r w:rsidRPr="00751CA8">
        <w:rPr>
          <w:b/>
          <w:bCs/>
          <w:u w:val="single"/>
        </w:rPr>
        <w:t xml:space="preserve">Mebane to Clayton is the most likely to </w:t>
      </w:r>
      <w:r w:rsidR="00B8769E" w:rsidRPr="00751CA8">
        <w:rPr>
          <w:b/>
          <w:bCs/>
          <w:u w:val="single"/>
        </w:rPr>
        <w:t>be attractive to Federal criteria,</w:t>
      </w:r>
      <w:r w:rsidR="00B8769E">
        <w:t xml:space="preserve"> </w:t>
      </w:r>
      <w:r w:rsidR="00B8769E" w:rsidRPr="00AD15C2">
        <w:t>followed in order by:  </w:t>
      </w:r>
    </w:p>
    <w:p w14:paraId="1BD000BA" w14:textId="77777777" w:rsidR="00AD5D48" w:rsidRDefault="00AD5D48" w:rsidP="00B8769E">
      <w:pPr>
        <w:pStyle w:val="ListParagraph"/>
        <w:numPr>
          <w:ilvl w:val="0"/>
          <w:numId w:val="11"/>
        </w:numPr>
      </w:pPr>
      <w:r>
        <w:t xml:space="preserve">The </w:t>
      </w:r>
      <w:r w:rsidR="00B8769E" w:rsidRPr="00AD15C2">
        <w:t>Raleigh to Wake Forest and Franklinton (S-line)</w:t>
      </w:r>
      <w:r>
        <w:t xml:space="preserve"> section of Sanford to Franklinton</w:t>
      </w:r>
    </w:p>
    <w:p w14:paraId="51AC4DFF" w14:textId="1CFEA4A8" w:rsidR="00B8769E" w:rsidRDefault="00AD5D48" w:rsidP="00B8769E">
      <w:pPr>
        <w:pStyle w:val="ListParagraph"/>
        <w:numPr>
          <w:ilvl w:val="0"/>
          <w:numId w:val="11"/>
        </w:numPr>
      </w:pPr>
      <w:r>
        <w:t xml:space="preserve">The </w:t>
      </w:r>
      <w:r w:rsidR="00B8769E" w:rsidRPr="00AD15C2">
        <w:t>Cary to Apex and Sanford,</w:t>
      </w:r>
      <w:r>
        <w:t xml:space="preserve"> section of Sanford to Franklinton, </w:t>
      </w:r>
      <w:r w:rsidR="00B8769E" w:rsidRPr="00AD15C2">
        <w:t>given lighter existing and future passenger rail traffic in this corridor</w:t>
      </w:r>
    </w:p>
    <w:p w14:paraId="7F39B334" w14:textId="4CAEF910" w:rsidR="00281CEB" w:rsidRDefault="00281CEB" w:rsidP="00B8769E">
      <w:pPr>
        <w:pStyle w:val="ListParagraph"/>
        <w:numPr>
          <w:ilvl w:val="0"/>
          <w:numId w:val="11"/>
        </w:numPr>
      </w:pPr>
      <w:r w:rsidRPr="00AD15C2">
        <w:t xml:space="preserve">Durham to Raleigh (lower priority because these investments are discretionary enhancements to the improvements in </w:t>
      </w:r>
      <w:r>
        <w:t>Mebane to Clayton</w:t>
      </w:r>
      <w:r w:rsidR="00BE39D4">
        <w:t>, and because</w:t>
      </w:r>
      <w:r w:rsidR="004820A0">
        <w:t xml:space="preserve"> of the shorter distance covered by the service</w:t>
      </w:r>
      <w:r w:rsidRPr="00AD15C2">
        <w:t>)</w:t>
      </w:r>
    </w:p>
    <w:p w14:paraId="511DBAAE" w14:textId="76B5F3ED" w:rsidR="00B8769E" w:rsidRDefault="00281CEB" w:rsidP="00B8769E">
      <w:pPr>
        <w:pStyle w:val="ListParagraph"/>
        <w:numPr>
          <w:ilvl w:val="0"/>
          <w:numId w:val="11"/>
        </w:numPr>
      </w:pPr>
      <w:r>
        <w:t>Lillington</w:t>
      </w:r>
      <w:r w:rsidR="00B8769E" w:rsidRPr="00AD15C2">
        <w:t xml:space="preserve"> to Raleigh </w:t>
      </w:r>
    </w:p>
    <w:p w14:paraId="761316D6" w14:textId="77777777" w:rsidR="00751CA8" w:rsidRDefault="00751CA8" w:rsidP="00751CA8">
      <w:pPr>
        <w:pStyle w:val="ListParagraph"/>
        <w:numPr>
          <w:ilvl w:val="0"/>
          <w:numId w:val="11"/>
        </w:numPr>
      </w:pPr>
      <w:r w:rsidRPr="00AD15C2">
        <w:t xml:space="preserve">Carrboro to Durham </w:t>
      </w:r>
    </w:p>
    <w:p w14:paraId="11F1B3B9" w14:textId="77777777" w:rsidR="00751CA8" w:rsidRPr="00AD15C2" w:rsidRDefault="00751CA8" w:rsidP="00751CA8">
      <w:pPr>
        <w:pStyle w:val="ListParagraph"/>
      </w:pPr>
    </w:p>
    <w:p w14:paraId="1D32492C" w14:textId="705FDCB2" w:rsidR="00751CA8" w:rsidRDefault="00D56039">
      <w:r>
        <w:t xml:space="preserve">The Mebane to Clayton Service Concept has </w:t>
      </w:r>
      <w:r w:rsidR="002B7E7D">
        <w:t>several</w:t>
      </w:r>
      <w:r>
        <w:t xml:space="preserve"> features that are attractive to federal processes. The entire length</w:t>
      </w:r>
      <w:r w:rsidR="0065411A">
        <w:t xml:space="preserve"> already has a passenger rail operating agreement with a freight railroad and the track owner, NCRR. </w:t>
      </w:r>
      <w:r w:rsidR="001A5578">
        <w:t>The corridor is part of two Corridor ID grant</w:t>
      </w:r>
      <w:r w:rsidR="002B7E7D">
        <w:t xml:space="preserve"> projects: Winston-Salem to Raleigh and Wilmington to Raleigh. </w:t>
      </w:r>
      <w:r w:rsidR="00F10264">
        <w:t xml:space="preserve">There are multiple component projects of the Mebane to Clayton Service Concept </w:t>
      </w:r>
      <w:r w:rsidR="000B24F4">
        <w:t xml:space="preserve">that were rated “Medium to High” </w:t>
      </w:r>
      <w:r w:rsidR="00656A4A">
        <w:t>for State Funding Attractiveness, which could become the local match for a large Federal grant as part of the Federal-State Partnership (FSP) program.</w:t>
      </w:r>
    </w:p>
    <w:p w14:paraId="147C24E9" w14:textId="5DF7B3BD" w:rsidR="00656A4A" w:rsidRPr="00D56039" w:rsidRDefault="00656A4A">
      <w:r>
        <w:t>In response to this assessment, NCDOT Rail shared that they</w:t>
      </w:r>
      <w:r w:rsidR="001722A6">
        <w:t xml:space="preserve"> believed that a combination of part of the Mebane to Clayton corridor and the S-Line would also be attractive to Federal criteria; the project team agrees with NCDOT Rail’s assessment. Mebane to Franklinton may</w:t>
      </w:r>
      <w:r w:rsidR="005855A4">
        <w:t xml:space="preserve"> be similarly attractive for the same reasons listed above.</w:t>
      </w:r>
    </w:p>
    <w:p w14:paraId="3B45DFA9" w14:textId="300DD1B1" w:rsidR="001F048A" w:rsidRPr="009962B8" w:rsidRDefault="001F048A" w:rsidP="004A149B">
      <w:pPr>
        <w:rPr>
          <w:b/>
          <w:bCs/>
        </w:rPr>
      </w:pPr>
      <w:r w:rsidRPr="009962B8">
        <w:rPr>
          <w:b/>
          <w:bCs/>
        </w:rPr>
        <w:lastRenderedPageBreak/>
        <w:t xml:space="preserve">Figure 1. </w:t>
      </w:r>
      <w:r w:rsidR="009962B8" w:rsidRPr="009962B8">
        <w:rPr>
          <w:b/>
          <w:bCs/>
        </w:rPr>
        <w:t>Candidate Service Concepts for Evaluation</w:t>
      </w:r>
    </w:p>
    <w:p w14:paraId="32D43B39" w14:textId="12096072" w:rsidR="001F048A" w:rsidRDefault="001F048A" w:rsidP="004A149B">
      <w:r w:rsidRPr="001F048A">
        <w:rPr>
          <w:noProof/>
        </w:rPr>
        <w:drawing>
          <wp:inline distT="0" distB="0" distL="0" distR="0" wp14:anchorId="0CC5BABA" wp14:editId="7BA46291">
            <wp:extent cx="6400800" cy="5818505"/>
            <wp:effectExtent l="0" t="0" r="0" b="0"/>
            <wp:docPr id="13" name="Picture 12" descr="A map of a route&#10;&#10;AI-generated content may be incorrect.">
              <a:extLst xmlns:a="http://schemas.openxmlformats.org/drawingml/2006/main">
                <a:ext uri="{FF2B5EF4-FFF2-40B4-BE49-F238E27FC236}">
                  <a16:creationId xmlns:a16="http://schemas.microsoft.com/office/drawing/2014/main" id="{99AE44E7-A6F0-01CD-A61E-129352ABCE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map of a route&#10;&#10;AI-generated content may be incorrect.">
                      <a:extLst>
                        <a:ext uri="{FF2B5EF4-FFF2-40B4-BE49-F238E27FC236}">
                          <a16:creationId xmlns:a16="http://schemas.microsoft.com/office/drawing/2014/main" id="{99AE44E7-A6F0-01CD-A61E-129352ABCE2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5818505"/>
                    </a:xfrm>
                    <a:prstGeom prst="rect">
                      <a:avLst/>
                    </a:prstGeom>
                  </pic:spPr>
                </pic:pic>
              </a:graphicData>
            </a:graphic>
          </wp:inline>
        </w:drawing>
      </w:r>
    </w:p>
    <w:p w14:paraId="45BCE049" w14:textId="77777777" w:rsidR="00C81C2F" w:rsidRDefault="00C81C2F" w:rsidP="00C81C2F"/>
    <w:p w14:paraId="5360E521" w14:textId="77777777" w:rsidR="005855A4" w:rsidRDefault="005855A4">
      <w:pPr>
        <w:rPr>
          <w:b/>
          <w:bCs/>
        </w:rPr>
      </w:pPr>
      <w:r>
        <w:rPr>
          <w:b/>
          <w:bCs/>
        </w:rPr>
        <w:br w:type="page"/>
      </w:r>
    </w:p>
    <w:p w14:paraId="6F45F593" w14:textId="3FDB1928" w:rsidR="004532E8" w:rsidRDefault="00F56F79" w:rsidP="004532E8">
      <w:r>
        <w:rPr>
          <w:b/>
          <w:bCs/>
        </w:rPr>
        <w:lastRenderedPageBreak/>
        <w:t xml:space="preserve">FUNDING </w:t>
      </w:r>
      <w:r w:rsidR="00F2152C">
        <w:rPr>
          <w:b/>
          <w:bCs/>
        </w:rPr>
        <w:t>IMPLICATIONS FOR DECISIONMAKING</w:t>
      </w:r>
    </w:p>
    <w:p w14:paraId="291CB05E" w14:textId="273B5B15" w:rsidR="00F2152C" w:rsidRDefault="00F2152C" w:rsidP="004532E8">
      <w:r>
        <w:t xml:space="preserve">Given the policy environment for rail investment described above, </w:t>
      </w:r>
      <w:r w:rsidR="00BB0EB9">
        <w:t xml:space="preserve">any framework for regional </w:t>
      </w:r>
      <w:r w:rsidR="005855A4">
        <w:t>decision-making</w:t>
      </w:r>
      <w:r w:rsidR="00BB0EB9">
        <w:t xml:space="preserve"> will need to contemplate a variety of </w:t>
      </w:r>
      <w:r w:rsidR="004D7EDA">
        <w:t>capital cost contributions across various stakeholders. These could include:</w:t>
      </w:r>
    </w:p>
    <w:p w14:paraId="4FC78483" w14:textId="736533D8" w:rsidR="004D7EDA" w:rsidRDefault="004D7EDA" w:rsidP="004D7EDA">
      <w:pPr>
        <w:pStyle w:val="ListParagraph"/>
        <w:numPr>
          <w:ilvl w:val="0"/>
          <w:numId w:val="8"/>
        </w:numPr>
      </w:pPr>
      <w:r>
        <w:t>Projects in one MPO or Triangle County that benefit</w:t>
      </w:r>
      <w:r w:rsidR="00415B06">
        <w:t>:</w:t>
      </w:r>
    </w:p>
    <w:p w14:paraId="6DB15B27" w14:textId="2BA25F15" w:rsidR="00415B06" w:rsidRDefault="00415B06" w:rsidP="00415B06">
      <w:pPr>
        <w:pStyle w:val="ListParagraph"/>
        <w:numPr>
          <w:ilvl w:val="1"/>
          <w:numId w:val="8"/>
        </w:numPr>
      </w:pPr>
      <w:r>
        <w:t>More than one Triangle County or MPO</w:t>
      </w:r>
    </w:p>
    <w:p w14:paraId="0C5F2985" w14:textId="3ED13704" w:rsidR="00415B06" w:rsidRDefault="00415B06" w:rsidP="00415B06">
      <w:pPr>
        <w:pStyle w:val="ListParagraph"/>
        <w:numPr>
          <w:ilvl w:val="1"/>
          <w:numId w:val="8"/>
        </w:numPr>
      </w:pPr>
      <w:r>
        <w:t>Counties or MPOs outside of the core Triangle Counties and other adjacent MPO-member counties</w:t>
      </w:r>
      <w:r w:rsidR="00C356E8">
        <w:t xml:space="preserve"> (Other MSAs such as Triad, Wilmington, Fayetteville, or even Charlotte)</w:t>
      </w:r>
    </w:p>
    <w:p w14:paraId="06DA5C3B" w14:textId="3DC5056B" w:rsidR="00474389" w:rsidRDefault="00474389" w:rsidP="00474389">
      <w:pPr>
        <w:pStyle w:val="ListParagraph"/>
        <w:numPr>
          <w:ilvl w:val="0"/>
          <w:numId w:val="8"/>
        </w:numPr>
      </w:pPr>
      <w:r>
        <w:t>Projects that cross jurisdictional boundaries with the same potential combination of stakeholders as above</w:t>
      </w:r>
    </w:p>
    <w:p w14:paraId="5B8AE263" w14:textId="07CF21E5" w:rsidR="00B3396B" w:rsidRDefault="00B3396B" w:rsidP="00B3396B">
      <w:r>
        <w:rPr>
          <w:b/>
          <w:bCs/>
        </w:rPr>
        <w:t>POTENTIAL COST-SHARING MODELS</w:t>
      </w:r>
    </w:p>
    <w:p w14:paraId="5439A831" w14:textId="6EBD7BFD" w:rsidR="00B3396B" w:rsidRDefault="005202CD" w:rsidP="00B3396B">
      <w:r>
        <w:t xml:space="preserve">In the Triangle, several </w:t>
      </w:r>
      <w:r w:rsidR="002258D0">
        <w:t xml:space="preserve">ways of </w:t>
      </w:r>
      <w:r w:rsidR="00301968">
        <w:t>cost-sharing</w:t>
      </w:r>
      <w:r w:rsidR="002258D0">
        <w:t xml:space="preserve"> transit investments</w:t>
      </w:r>
      <w:r w:rsidR="00301968">
        <w:t xml:space="preserve"> within the region</w:t>
      </w:r>
      <w:r w:rsidR="002258D0">
        <w:t xml:space="preserve"> have developed since Durham, Orange and Wake counties passed their ½-cent referenda in 2011, 2012, and 2016, respectively. </w:t>
      </w:r>
      <w:r w:rsidR="007B6879">
        <w:t>Those include:</w:t>
      </w:r>
    </w:p>
    <w:p w14:paraId="50565DF8" w14:textId="39629CC9" w:rsidR="007B6879" w:rsidRDefault="007B6879" w:rsidP="007B6879">
      <w:pPr>
        <w:pStyle w:val="ListParagraph"/>
        <w:numPr>
          <w:ilvl w:val="0"/>
          <w:numId w:val="9"/>
        </w:numPr>
      </w:pPr>
      <w:r>
        <w:t>50:50 cost splits for express bus services with origins and destinations in 2 counties</w:t>
      </w:r>
    </w:p>
    <w:p w14:paraId="5D4253D2" w14:textId="6BF94E54" w:rsidR="007B6879" w:rsidRDefault="007B6879" w:rsidP="007B6879">
      <w:pPr>
        <w:pStyle w:val="ListParagraph"/>
        <w:numPr>
          <w:ilvl w:val="0"/>
          <w:numId w:val="9"/>
        </w:numPr>
      </w:pPr>
      <w:r>
        <w:t>Splitting the cost of proposed commuter rail improvements by track miles in each county</w:t>
      </w:r>
    </w:p>
    <w:p w14:paraId="465CA7D9" w14:textId="10321EA5" w:rsidR="007B6879" w:rsidRDefault="00C4747E" w:rsidP="007B6879">
      <w:pPr>
        <w:pStyle w:val="ListParagraph"/>
        <w:numPr>
          <w:ilvl w:val="0"/>
          <w:numId w:val="9"/>
        </w:numPr>
      </w:pPr>
      <w:r>
        <w:t>Allocating costs to regional transit hubs by ratios of population among the 3 counties</w:t>
      </w:r>
    </w:p>
    <w:p w14:paraId="0F67474E" w14:textId="4FA3098D" w:rsidR="00C4747E" w:rsidRPr="00B3396B" w:rsidRDefault="007234C7" w:rsidP="00C4747E">
      <w:r>
        <w:t>The nature of the FRA</w:t>
      </w:r>
      <w:r w:rsidR="00C959E7">
        <w:t xml:space="preserve"> Worldview in Principle 1 suggests that Triangle stakeholders should develop expectations that they can communicate to potential funding partners in other cities, counties and metro regions</w:t>
      </w:r>
      <w:r w:rsidR="00AD11FF">
        <w:t xml:space="preserve"> across North Carolina</w:t>
      </w:r>
      <w:r w:rsidR="00533EF0">
        <w:t>.</w:t>
      </w:r>
    </w:p>
    <w:p w14:paraId="65750CB5" w14:textId="0A632FA7" w:rsidR="004532E8" w:rsidRDefault="00F56F79" w:rsidP="004532E8">
      <w:pPr>
        <w:rPr>
          <w:b/>
          <w:bCs/>
        </w:rPr>
      </w:pPr>
      <w:r>
        <w:rPr>
          <w:b/>
          <w:bCs/>
        </w:rPr>
        <w:t xml:space="preserve">POTENTIAL PRIORITIZATION MODELS </w:t>
      </w:r>
    </w:p>
    <w:p w14:paraId="34D004DA" w14:textId="6D6D6AF4" w:rsidR="00F56F79" w:rsidRDefault="00F56F79" w:rsidP="004532E8">
      <w:r>
        <w:t xml:space="preserve">Within the </w:t>
      </w:r>
      <w:r w:rsidR="00794471">
        <w:t>decision-making</w:t>
      </w:r>
      <w:r>
        <w:t xml:space="preserve"> framework, the Triangle region should focus less on the total number of potential users of any future passenger rail investment, and more on </w:t>
      </w:r>
      <w:r w:rsidR="007E2A17">
        <w:t>the number of factors that align with the likelihood of a project progressing to completion.</w:t>
      </w:r>
      <w:r w:rsidR="0073396F">
        <w:t xml:space="preserve"> A simple project screening checklist </w:t>
      </w:r>
      <w:r w:rsidR="00733D89">
        <w:t>might include questions like:</w:t>
      </w:r>
    </w:p>
    <w:p w14:paraId="200CA51E" w14:textId="388B4584" w:rsidR="00733D89" w:rsidRDefault="00733D89" w:rsidP="00733D89">
      <w:pPr>
        <w:pStyle w:val="ListParagraph"/>
        <w:numPr>
          <w:ilvl w:val="0"/>
          <w:numId w:val="10"/>
        </w:numPr>
      </w:pPr>
      <w:r>
        <w:t>Is this project part of a Corridor ID grant received by NCDOT?</w:t>
      </w:r>
    </w:p>
    <w:p w14:paraId="561D8401" w14:textId="2393D970" w:rsidR="00733D89" w:rsidRDefault="00733D89" w:rsidP="00733D89">
      <w:pPr>
        <w:pStyle w:val="ListParagraph"/>
        <w:numPr>
          <w:ilvl w:val="0"/>
          <w:numId w:val="10"/>
        </w:numPr>
      </w:pPr>
      <w:r>
        <w:t>Is this project on a rail line with an active operating passenger rail agreement with the host railroad? If not, is the host railroad interested in developing one?</w:t>
      </w:r>
    </w:p>
    <w:p w14:paraId="716A547F" w14:textId="7264A7B9" w:rsidR="00733D89" w:rsidRDefault="00733D89" w:rsidP="00733D89">
      <w:pPr>
        <w:pStyle w:val="ListParagraph"/>
        <w:numPr>
          <w:ilvl w:val="0"/>
          <w:numId w:val="10"/>
        </w:numPr>
      </w:pPr>
      <w:r>
        <w:t>Does this project connect two Metropolitan Statistical Areas, or at least one Micropolitan Statistical Area to the Triangle?</w:t>
      </w:r>
    </w:p>
    <w:p w14:paraId="4946477E" w14:textId="25B67B03" w:rsidR="00242634" w:rsidRDefault="00242634" w:rsidP="00733D89">
      <w:pPr>
        <w:pStyle w:val="ListParagraph"/>
        <w:numPr>
          <w:ilvl w:val="0"/>
          <w:numId w:val="10"/>
        </w:numPr>
      </w:pPr>
      <w:r>
        <w:t>Does this project connect to any other existing intercity passenger rail service?</w:t>
      </w:r>
    </w:p>
    <w:p w14:paraId="6866527F" w14:textId="0EB18AAE" w:rsidR="00242634" w:rsidRDefault="007475FF" w:rsidP="00733D89">
      <w:pPr>
        <w:pStyle w:val="ListParagraph"/>
        <w:numPr>
          <w:ilvl w:val="0"/>
          <w:numId w:val="10"/>
        </w:numPr>
      </w:pPr>
      <w:r>
        <w:t>Are there “low-hanging fruit” projects that would be strong candidates for state funding?</w:t>
      </w:r>
    </w:p>
    <w:p w14:paraId="24371EEA" w14:textId="5B4653EF" w:rsidR="007475FF" w:rsidRPr="00F56F79" w:rsidRDefault="007475FF" w:rsidP="00733D89">
      <w:pPr>
        <w:pStyle w:val="ListParagraph"/>
        <w:numPr>
          <w:ilvl w:val="0"/>
          <w:numId w:val="10"/>
        </w:numPr>
      </w:pPr>
      <w:r>
        <w:t>Is this a passenger station or other project for new service that is unlikely to receive state funding, but could be a strategic investment with local dollars to accelerate the activation of new service?</w:t>
      </w:r>
    </w:p>
    <w:sectPr w:rsidR="007475FF" w:rsidRPr="00F56F79" w:rsidSect="007475FF">
      <w:headerReference w:type="default" r:id="rId11"/>
      <w:footerReference w:type="default" r:id="rId12"/>
      <w:pgSz w:w="12240" w:h="15840"/>
      <w:pgMar w:top="1440" w:right="1080" w:bottom="1440"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3B6D9" w14:textId="77777777" w:rsidR="000C236B" w:rsidRDefault="000C236B" w:rsidP="00D40B8A">
      <w:pPr>
        <w:spacing w:after="0" w:line="240" w:lineRule="auto"/>
      </w:pPr>
      <w:r>
        <w:separator/>
      </w:r>
    </w:p>
  </w:endnote>
  <w:endnote w:type="continuationSeparator" w:id="0">
    <w:p w14:paraId="27CF29D9" w14:textId="77777777" w:rsidR="000C236B" w:rsidRDefault="000C236B" w:rsidP="00D4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96055"/>
      <w:docPartObj>
        <w:docPartGallery w:val="Page Numbers (Bottom of Page)"/>
        <w:docPartUnique/>
      </w:docPartObj>
    </w:sdtPr>
    <w:sdtEndPr>
      <w:rPr>
        <w:noProof/>
      </w:rPr>
    </w:sdtEndPr>
    <w:sdtContent>
      <w:p w14:paraId="5AEC14DC" w14:textId="0595707C" w:rsidR="00BC7C06" w:rsidRDefault="00BC7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DD064" w14:textId="77777777" w:rsidR="00BC7C06" w:rsidRDefault="00BC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BA58" w14:textId="77777777" w:rsidR="000C236B" w:rsidRDefault="000C236B" w:rsidP="00D40B8A">
      <w:pPr>
        <w:spacing w:after="0" w:line="240" w:lineRule="auto"/>
      </w:pPr>
      <w:r>
        <w:separator/>
      </w:r>
    </w:p>
  </w:footnote>
  <w:footnote w:type="continuationSeparator" w:id="0">
    <w:p w14:paraId="0CE0B8F6" w14:textId="77777777" w:rsidR="000C236B" w:rsidRDefault="000C236B" w:rsidP="00D40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DRFormTable"/>
      <w:tblW w:w="9216" w:type="dxa"/>
      <w:jc w:val="right"/>
      <w:tblCellMar>
        <w:left w:w="0" w:type="dxa"/>
        <w:right w:w="0" w:type="dxa"/>
      </w:tblCellMar>
      <w:tblLook w:val="0600" w:firstRow="0" w:lastRow="0" w:firstColumn="0" w:lastColumn="0" w:noHBand="1" w:noVBand="1"/>
    </w:tblPr>
    <w:tblGrid>
      <w:gridCol w:w="8208"/>
      <w:gridCol w:w="1008"/>
    </w:tblGrid>
    <w:tr w:rsidR="00D40B8A" w:rsidRPr="00765289" w14:paraId="785C71A1" w14:textId="77777777" w:rsidTr="00AD11FF">
      <w:trPr>
        <w:jc w:val="right"/>
      </w:trPr>
      <w:tc>
        <w:tcPr>
          <w:tcW w:w="8208" w:type="dxa"/>
        </w:tcPr>
        <w:p w14:paraId="1E9E3130" w14:textId="33984960" w:rsidR="00D40B8A" w:rsidRPr="00B21726" w:rsidRDefault="00000000" w:rsidP="00AD11FF">
          <w:pPr>
            <w:pStyle w:val="HDRHeader"/>
            <w:jc w:val="right"/>
          </w:pPr>
          <w:sdt>
            <w:sdtPr>
              <w:rPr>
                <w:rStyle w:val="Strong"/>
              </w:rPr>
              <w:alias w:val="Client"/>
              <w:tag w:val="Client"/>
              <w:id w:val="330409926"/>
            </w:sdtPr>
            <w:sdtContent>
              <w:r w:rsidR="00D40B8A">
                <w:rPr>
                  <w:rStyle w:val="Strong"/>
                </w:rPr>
                <w:t>CAMPO &amp; DCHC-MPO</w:t>
              </w:r>
            </w:sdtContent>
          </w:sdt>
          <w:r w:rsidR="00D40B8A" w:rsidRPr="00B21726">
            <w:t xml:space="preserve"> | </w:t>
          </w:r>
          <w:sdt>
            <w:sdtPr>
              <w:id w:val="-989392954"/>
            </w:sdtPr>
            <w:sdtContent>
              <w:r w:rsidR="00D40B8A">
                <w:t>Triangle Rail Study</w:t>
              </w:r>
            </w:sdtContent>
          </w:sdt>
        </w:p>
        <w:p w14:paraId="35D1B343" w14:textId="3B6A5EAF" w:rsidR="00D40B8A" w:rsidRPr="007C49EF" w:rsidRDefault="00D40B8A" w:rsidP="00AD11FF">
          <w:pPr>
            <w:pStyle w:val="HDRHeader"/>
            <w:jc w:val="right"/>
          </w:pPr>
          <w:r>
            <w:fldChar w:fldCharType="begin"/>
          </w:r>
          <w:r>
            <w:instrText xml:space="preserve"> IF </w:instrText>
          </w:r>
          <w:fldSimple w:instr="STYLEREF  &quot;Heading 1&quot;  \* MERGEFORMAT">
            <w:r w:rsidR="00185E3D">
              <w:instrText>Regional Rail Investment Decision-making Framework</w:instrText>
            </w:r>
          </w:fldSimple>
          <w:r>
            <w:instrText xml:space="preserve"> = </w:instrText>
          </w:r>
          <w:r>
            <w:rPr>
              <w:rFonts w:cstheme="minorHAnsi"/>
            </w:rPr>
            <w:instrText>"</w:instrText>
          </w:r>
          <w:r>
            <w:instrText>Error! No text of specified style in document.</w:instrText>
          </w:r>
          <w:r>
            <w:rPr>
              <w:rFonts w:cstheme="minorHAnsi"/>
            </w:rPr>
            <w:instrText>"</w:instrText>
          </w:r>
          <w:r>
            <w:instrText xml:space="preserve"> </w:instrText>
          </w:r>
          <w:r>
            <w:rPr>
              <w:rFonts w:cstheme="minorHAnsi"/>
            </w:rPr>
            <w:instrText>"</w:instrText>
          </w:r>
          <w:r>
            <w:instrText>Please use Heading 1 in document to update header content</w:instrText>
          </w:r>
          <w:r>
            <w:rPr>
              <w:rFonts w:cstheme="minorHAnsi"/>
            </w:rPr>
            <w:instrText>"</w:instrText>
          </w:r>
          <w:r>
            <w:instrText xml:space="preserve"> </w:instrText>
          </w:r>
          <w:fldSimple w:instr="STYLEREF  &quot;Heading 1&quot;  \* MERGEFORMAT">
            <w:r w:rsidR="00185E3D">
              <w:instrText>Regional Rail Investment Decision-making Framework</w:instrText>
            </w:r>
          </w:fldSimple>
          <w:r>
            <w:instrText xml:space="preserve"> </w:instrText>
          </w:r>
          <w:r>
            <w:fldChar w:fldCharType="separate"/>
          </w:r>
          <w:r w:rsidR="00185E3D">
            <w:t>Regional Rail Investment Decision-making Framework</w:t>
          </w:r>
          <w:r>
            <w:fldChar w:fldCharType="end"/>
          </w:r>
        </w:p>
      </w:tc>
      <w:tc>
        <w:tcPr>
          <w:tcW w:w="1008" w:type="dxa"/>
        </w:tcPr>
        <w:p w14:paraId="48D6ED5A" w14:textId="77777777" w:rsidR="00D40B8A" w:rsidRPr="00765289" w:rsidRDefault="00D40B8A" w:rsidP="00AD11FF">
          <w:pPr>
            <w:pStyle w:val="Header"/>
            <w:jc w:val="right"/>
            <w:rPr>
              <w:szCs w:val="16"/>
            </w:rPr>
          </w:pPr>
          <w:r w:rsidRPr="00765289">
            <w:rPr>
              <w:noProof/>
              <w:szCs w:val="16"/>
              <w:lang w:eastAsia="zh-CN"/>
            </w:rPr>
            <w:drawing>
              <wp:inline distT="0" distB="0" distL="0" distR="0" wp14:anchorId="0D8028D3" wp14:editId="08AAD988">
                <wp:extent cx="433909" cy="266131"/>
                <wp:effectExtent l="0" t="0" r="4445" b="635"/>
                <wp:docPr id="6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r>
  </w:tbl>
  <w:p w14:paraId="21DCFEE1" w14:textId="77777777" w:rsidR="00D40B8A" w:rsidRDefault="00D4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302B"/>
    <w:multiLevelType w:val="hybridMultilevel"/>
    <w:tmpl w:val="4F7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9A2"/>
    <w:multiLevelType w:val="hybridMultilevel"/>
    <w:tmpl w:val="24C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420"/>
    <w:multiLevelType w:val="hybridMultilevel"/>
    <w:tmpl w:val="4AF4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A2633"/>
    <w:multiLevelType w:val="hybridMultilevel"/>
    <w:tmpl w:val="6F04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918C3"/>
    <w:multiLevelType w:val="hybridMultilevel"/>
    <w:tmpl w:val="6210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F3EF9"/>
    <w:multiLevelType w:val="hybridMultilevel"/>
    <w:tmpl w:val="14BCD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A08E8"/>
    <w:multiLevelType w:val="hybridMultilevel"/>
    <w:tmpl w:val="D3CA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50A6F"/>
    <w:multiLevelType w:val="hybridMultilevel"/>
    <w:tmpl w:val="F54E6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86ED4"/>
    <w:multiLevelType w:val="hybridMultilevel"/>
    <w:tmpl w:val="1E18C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02099"/>
    <w:multiLevelType w:val="hybridMultilevel"/>
    <w:tmpl w:val="AEB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43734"/>
    <w:multiLevelType w:val="hybridMultilevel"/>
    <w:tmpl w:val="25E4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648525">
    <w:abstractNumId w:val="5"/>
  </w:num>
  <w:num w:numId="2" w16cid:durableId="988172241">
    <w:abstractNumId w:val="4"/>
  </w:num>
  <w:num w:numId="3" w16cid:durableId="407272088">
    <w:abstractNumId w:val="8"/>
  </w:num>
  <w:num w:numId="4" w16cid:durableId="713382517">
    <w:abstractNumId w:val="9"/>
  </w:num>
  <w:num w:numId="5" w16cid:durableId="1655183551">
    <w:abstractNumId w:val="1"/>
  </w:num>
  <w:num w:numId="6" w16cid:durableId="834616463">
    <w:abstractNumId w:val="7"/>
  </w:num>
  <w:num w:numId="7" w16cid:durableId="1868638957">
    <w:abstractNumId w:val="2"/>
  </w:num>
  <w:num w:numId="8" w16cid:durableId="1828323550">
    <w:abstractNumId w:val="10"/>
  </w:num>
  <w:num w:numId="9" w16cid:durableId="1855654531">
    <w:abstractNumId w:val="6"/>
  </w:num>
  <w:num w:numId="10" w16cid:durableId="1797023794">
    <w:abstractNumId w:val="0"/>
  </w:num>
  <w:num w:numId="11" w16cid:durableId="309022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sjA2NDUwMze1MDNX0lEKTi0uzszPAykwrgUAMpfxlywAAAA="/>
  </w:docVars>
  <w:rsids>
    <w:rsidRoot w:val="00D95BF6"/>
    <w:rsid w:val="0000756B"/>
    <w:rsid w:val="00033DA8"/>
    <w:rsid w:val="00041813"/>
    <w:rsid w:val="00050A6C"/>
    <w:rsid w:val="000572A4"/>
    <w:rsid w:val="0007420A"/>
    <w:rsid w:val="00074C6D"/>
    <w:rsid w:val="000B24F4"/>
    <w:rsid w:val="000B7C6A"/>
    <w:rsid w:val="000C02A4"/>
    <w:rsid w:val="000C0D89"/>
    <w:rsid w:val="000C236B"/>
    <w:rsid w:val="000C29B1"/>
    <w:rsid w:val="000C79E9"/>
    <w:rsid w:val="000D3286"/>
    <w:rsid w:val="000E73ED"/>
    <w:rsid w:val="000F3C73"/>
    <w:rsid w:val="001004D7"/>
    <w:rsid w:val="001075EB"/>
    <w:rsid w:val="001126FF"/>
    <w:rsid w:val="001127FD"/>
    <w:rsid w:val="0011496B"/>
    <w:rsid w:val="00117804"/>
    <w:rsid w:val="0013718A"/>
    <w:rsid w:val="00151890"/>
    <w:rsid w:val="0015756E"/>
    <w:rsid w:val="001722A6"/>
    <w:rsid w:val="00181907"/>
    <w:rsid w:val="00185E3D"/>
    <w:rsid w:val="00191159"/>
    <w:rsid w:val="0019745F"/>
    <w:rsid w:val="001A5578"/>
    <w:rsid w:val="001B28C6"/>
    <w:rsid w:val="001B7CB4"/>
    <w:rsid w:val="001C075E"/>
    <w:rsid w:val="001C33C2"/>
    <w:rsid w:val="001F0247"/>
    <w:rsid w:val="001F048A"/>
    <w:rsid w:val="001F48EF"/>
    <w:rsid w:val="00210F42"/>
    <w:rsid w:val="002258D0"/>
    <w:rsid w:val="00235EC9"/>
    <w:rsid w:val="002362AA"/>
    <w:rsid w:val="00242634"/>
    <w:rsid w:val="00255AD5"/>
    <w:rsid w:val="00271D27"/>
    <w:rsid w:val="00272049"/>
    <w:rsid w:val="00281CEB"/>
    <w:rsid w:val="002833AD"/>
    <w:rsid w:val="002B7E67"/>
    <w:rsid w:val="002B7E7D"/>
    <w:rsid w:val="002D5AF3"/>
    <w:rsid w:val="002E053C"/>
    <w:rsid w:val="00301968"/>
    <w:rsid w:val="003065AE"/>
    <w:rsid w:val="0031171F"/>
    <w:rsid w:val="00323DD4"/>
    <w:rsid w:val="0032501B"/>
    <w:rsid w:val="0033506F"/>
    <w:rsid w:val="00335922"/>
    <w:rsid w:val="0034265F"/>
    <w:rsid w:val="003470E7"/>
    <w:rsid w:val="0035221D"/>
    <w:rsid w:val="00355C9B"/>
    <w:rsid w:val="00355D2B"/>
    <w:rsid w:val="003562E1"/>
    <w:rsid w:val="00365D25"/>
    <w:rsid w:val="00373999"/>
    <w:rsid w:val="00374B0A"/>
    <w:rsid w:val="00384355"/>
    <w:rsid w:val="00384EA1"/>
    <w:rsid w:val="00391DA6"/>
    <w:rsid w:val="003A1456"/>
    <w:rsid w:val="003A2406"/>
    <w:rsid w:val="003B7CE8"/>
    <w:rsid w:val="003C47AF"/>
    <w:rsid w:val="003E0C3E"/>
    <w:rsid w:val="003E2524"/>
    <w:rsid w:val="00415B03"/>
    <w:rsid w:val="00415B06"/>
    <w:rsid w:val="00421D7A"/>
    <w:rsid w:val="00426B60"/>
    <w:rsid w:val="0043270F"/>
    <w:rsid w:val="00440A53"/>
    <w:rsid w:val="004532E8"/>
    <w:rsid w:val="00463CEC"/>
    <w:rsid w:val="00466002"/>
    <w:rsid w:val="00473D81"/>
    <w:rsid w:val="00474389"/>
    <w:rsid w:val="004820A0"/>
    <w:rsid w:val="00487244"/>
    <w:rsid w:val="00493CC4"/>
    <w:rsid w:val="004A149B"/>
    <w:rsid w:val="004A1BCE"/>
    <w:rsid w:val="004A6ED4"/>
    <w:rsid w:val="004B1157"/>
    <w:rsid w:val="004B2509"/>
    <w:rsid w:val="004C14C8"/>
    <w:rsid w:val="004D336A"/>
    <w:rsid w:val="004D5C4B"/>
    <w:rsid w:val="004D7EDA"/>
    <w:rsid w:val="004E1942"/>
    <w:rsid w:val="00500317"/>
    <w:rsid w:val="00506B5C"/>
    <w:rsid w:val="00517712"/>
    <w:rsid w:val="005202CD"/>
    <w:rsid w:val="00533EF0"/>
    <w:rsid w:val="00551C30"/>
    <w:rsid w:val="00567507"/>
    <w:rsid w:val="00573F7C"/>
    <w:rsid w:val="005815CD"/>
    <w:rsid w:val="00584943"/>
    <w:rsid w:val="005855A4"/>
    <w:rsid w:val="005A2E46"/>
    <w:rsid w:val="005A556F"/>
    <w:rsid w:val="005A7D5B"/>
    <w:rsid w:val="005D2946"/>
    <w:rsid w:val="005F2462"/>
    <w:rsid w:val="005F5DEC"/>
    <w:rsid w:val="00604C20"/>
    <w:rsid w:val="00604EFD"/>
    <w:rsid w:val="0062676C"/>
    <w:rsid w:val="0063122E"/>
    <w:rsid w:val="0065411A"/>
    <w:rsid w:val="00656A4A"/>
    <w:rsid w:val="00660253"/>
    <w:rsid w:val="00664A54"/>
    <w:rsid w:val="00666C4E"/>
    <w:rsid w:val="006673A4"/>
    <w:rsid w:val="0067475E"/>
    <w:rsid w:val="00676B54"/>
    <w:rsid w:val="00687ECB"/>
    <w:rsid w:val="00697276"/>
    <w:rsid w:val="006A23EA"/>
    <w:rsid w:val="006A426E"/>
    <w:rsid w:val="006B4556"/>
    <w:rsid w:val="006C5DEC"/>
    <w:rsid w:val="006C6183"/>
    <w:rsid w:val="006D5AF4"/>
    <w:rsid w:val="006E2BFA"/>
    <w:rsid w:val="006F66AE"/>
    <w:rsid w:val="006F7E9B"/>
    <w:rsid w:val="007234C7"/>
    <w:rsid w:val="00724217"/>
    <w:rsid w:val="0073396F"/>
    <w:rsid w:val="00733D89"/>
    <w:rsid w:val="00740721"/>
    <w:rsid w:val="00740896"/>
    <w:rsid w:val="007475FF"/>
    <w:rsid w:val="00751CA8"/>
    <w:rsid w:val="00757A28"/>
    <w:rsid w:val="00762CC4"/>
    <w:rsid w:val="00774317"/>
    <w:rsid w:val="00794471"/>
    <w:rsid w:val="007A41C6"/>
    <w:rsid w:val="007B3C27"/>
    <w:rsid w:val="007B6879"/>
    <w:rsid w:val="007C323C"/>
    <w:rsid w:val="007E2A17"/>
    <w:rsid w:val="007F4C03"/>
    <w:rsid w:val="00805FA7"/>
    <w:rsid w:val="008202ED"/>
    <w:rsid w:val="0082083A"/>
    <w:rsid w:val="00831D48"/>
    <w:rsid w:val="008329BF"/>
    <w:rsid w:val="008356ED"/>
    <w:rsid w:val="00845923"/>
    <w:rsid w:val="008468E0"/>
    <w:rsid w:val="00847059"/>
    <w:rsid w:val="0086791F"/>
    <w:rsid w:val="00881F51"/>
    <w:rsid w:val="00894AE6"/>
    <w:rsid w:val="008A644E"/>
    <w:rsid w:val="008A6D75"/>
    <w:rsid w:val="008B225D"/>
    <w:rsid w:val="008B6A70"/>
    <w:rsid w:val="008D13C6"/>
    <w:rsid w:val="008D7654"/>
    <w:rsid w:val="008E5AE2"/>
    <w:rsid w:val="008F62B1"/>
    <w:rsid w:val="0090168E"/>
    <w:rsid w:val="009044BE"/>
    <w:rsid w:val="00935581"/>
    <w:rsid w:val="0094252A"/>
    <w:rsid w:val="009516F4"/>
    <w:rsid w:val="00973DAD"/>
    <w:rsid w:val="00982B95"/>
    <w:rsid w:val="00983E9F"/>
    <w:rsid w:val="0098783D"/>
    <w:rsid w:val="009962B8"/>
    <w:rsid w:val="009B4388"/>
    <w:rsid w:val="009B6D25"/>
    <w:rsid w:val="009C68C3"/>
    <w:rsid w:val="009D5ABE"/>
    <w:rsid w:val="009D66DA"/>
    <w:rsid w:val="00A14BDC"/>
    <w:rsid w:val="00A23323"/>
    <w:rsid w:val="00A300F8"/>
    <w:rsid w:val="00A35D48"/>
    <w:rsid w:val="00A3690C"/>
    <w:rsid w:val="00A41B3C"/>
    <w:rsid w:val="00A52368"/>
    <w:rsid w:val="00A53E33"/>
    <w:rsid w:val="00A5420E"/>
    <w:rsid w:val="00A5563E"/>
    <w:rsid w:val="00A67D9D"/>
    <w:rsid w:val="00A81089"/>
    <w:rsid w:val="00A82D44"/>
    <w:rsid w:val="00A86C90"/>
    <w:rsid w:val="00A9612C"/>
    <w:rsid w:val="00AB2239"/>
    <w:rsid w:val="00AB5F23"/>
    <w:rsid w:val="00AC0565"/>
    <w:rsid w:val="00AD11FF"/>
    <w:rsid w:val="00AD2A58"/>
    <w:rsid w:val="00AD5D48"/>
    <w:rsid w:val="00B026C7"/>
    <w:rsid w:val="00B04B5C"/>
    <w:rsid w:val="00B110B8"/>
    <w:rsid w:val="00B1712E"/>
    <w:rsid w:val="00B207DA"/>
    <w:rsid w:val="00B2352C"/>
    <w:rsid w:val="00B3396B"/>
    <w:rsid w:val="00B34F76"/>
    <w:rsid w:val="00B4213D"/>
    <w:rsid w:val="00B428FA"/>
    <w:rsid w:val="00B5178D"/>
    <w:rsid w:val="00B60E7D"/>
    <w:rsid w:val="00B871F0"/>
    <w:rsid w:val="00B8769E"/>
    <w:rsid w:val="00B934F1"/>
    <w:rsid w:val="00B95CF3"/>
    <w:rsid w:val="00BA1484"/>
    <w:rsid w:val="00BA179D"/>
    <w:rsid w:val="00BB0EB9"/>
    <w:rsid w:val="00BB7B1B"/>
    <w:rsid w:val="00BC0E87"/>
    <w:rsid w:val="00BC2565"/>
    <w:rsid w:val="00BC7C06"/>
    <w:rsid w:val="00BD1B49"/>
    <w:rsid w:val="00BE39D4"/>
    <w:rsid w:val="00BE57E7"/>
    <w:rsid w:val="00BF67E5"/>
    <w:rsid w:val="00C006BF"/>
    <w:rsid w:val="00C04CB3"/>
    <w:rsid w:val="00C2338A"/>
    <w:rsid w:val="00C346F3"/>
    <w:rsid w:val="00C356E8"/>
    <w:rsid w:val="00C4138B"/>
    <w:rsid w:val="00C452CC"/>
    <w:rsid w:val="00C46C6E"/>
    <w:rsid w:val="00C4747E"/>
    <w:rsid w:val="00C548CE"/>
    <w:rsid w:val="00C81C2F"/>
    <w:rsid w:val="00C86531"/>
    <w:rsid w:val="00C959E7"/>
    <w:rsid w:val="00C95D12"/>
    <w:rsid w:val="00CD7E85"/>
    <w:rsid w:val="00CE1536"/>
    <w:rsid w:val="00CE3546"/>
    <w:rsid w:val="00CE4990"/>
    <w:rsid w:val="00CE6708"/>
    <w:rsid w:val="00D041D0"/>
    <w:rsid w:val="00D10063"/>
    <w:rsid w:val="00D22900"/>
    <w:rsid w:val="00D2727C"/>
    <w:rsid w:val="00D40B8A"/>
    <w:rsid w:val="00D429A1"/>
    <w:rsid w:val="00D43F3B"/>
    <w:rsid w:val="00D44199"/>
    <w:rsid w:val="00D56039"/>
    <w:rsid w:val="00D57CB6"/>
    <w:rsid w:val="00D60C5F"/>
    <w:rsid w:val="00D66AC5"/>
    <w:rsid w:val="00D74478"/>
    <w:rsid w:val="00D83E19"/>
    <w:rsid w:val="00D86B7C"/>
    <w:rsid w:val="00D92748"/>
    <w:rsid w:val="00D95BF6"/>
    <w:rsid w:val="00DA0FB1"/>
    <w:rsid w:val="00DA3894"/>
    <w:rsid w:val="00DA4D46"/>
    <w:rsid w:val="00DC0A3D"/>
    <w:rsid w:val="00DE2FE2"/>
    <w:rsid w:val="00DE3D46"/>
    <w:rsid w:val="00E132EC"/>
    <w:rsid w:val="00E25404"/>
    <w:rsid w:val="00E26DB4"/>
    <w:rsid w:val="00E31B85"/>
    <w:rsid w:val="00E33ACE"/>
    <w:rsid w:val="00E36A8B"/>
    <w:rsid w:val="00E37044"/>
    <w:rsid w:val="00E54F94"/>
    <w:rsid w:val="00E678EE"/>
    <w:rsid w:val="00E70C76"/>
    <w:rsid w:val="00E7228F"/>
    <w:rsid w:val="00E83506"/>
    <w:rsid w:val="00E837C1"/>
    <w:rsid w:val="00E84EEF"/>
    <w:rsid w:val="00E90201"/>
    <w:rsid w:val="00E90471"/>
    <w:rsid w:val="00E93947"/>
    <w:rsid w:val="00EA1031"/>
    <w:rsid w:val="00EA515D"/>
    <w:rsid w:val="00EC146D"/>
    <w:rsid w:val="00EC2475"/>
    <w:rsid w:val="00EE04FB"/>
    <w:rsid w:val="00EE11D2"/>
    <w:rsid w:val="00EF74A7"/>
    <w:rsid w:val="00F10264"/>
    <w:rsid w:val="00F2152C"/>
    <w:rsid w:val="00F23AB0"/>
    <w:rsid w:val="00F2553C"/>
    <w:rsid w:val="00F56F79"/>
    <w:rsid w:val="00F64B92"/>
    <w:rsid w:val="00F97BC3"/>
    <w:rsid w:val="00FA170A"/>
    <w:rsid w:val="00FA2EE2"/>
    <w:rsid w:val="00FA37B8"/>
    <w:rsid w:val="00FC3092"/>
    <w:rsid w:val="00FC483A"/>
    <w:rsid w:val="00FC76F1"/>
    <w:rsid w:val="00FD2213"/>
    <w:rsid w:val="00FD6791"/>
    <w:rsid w:val="0314DEC1"/>
    <w:rsid w:val="0F1AC6C5"/>
    <w:rsid w:val="16E02521"/>
    <w:rsid w:val="1CB469DA"/>
    <w:rsid w:val="3527AE41"/>
    <w:rsid w:val="35429BCB"/>
    <w:rsid w:val="4AAD73ED"/>
    <w:rsid w:val="4C53130B"/>
    <w:rsid w:val="5CF1D3DD"/>
    <w:rsid w:val="681C9E52"/>
    <w:rsid w:val="682F24DC"/>
    <w:rsid w:val="7881A740"/>
    <w:rsid w:val="7CB2E090"/>
    <w:rsid w:val="7D374305"/>
    <w:rsid w:val="7DFDE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7174"/>
  <w15:chartTrackingRefBased/>
  <w15:docId w15:val="{93C9010F-44FE-4E50-9660-261F01F8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8A"/>
  </w:style>
  <w:style w:type="paragraph" w:styleId="Heading1">
    <w:name w:val="heading 1"/>
    <w:basedOn w:val="Normal"/>
    <w:next w:val="Normal"/>
    <w:link w:val="Heading1Char"/>
    <w:uiPriority w:val="9"/>
    <w:qFormat/>
    <w:rsid w:val="00D40B8A"/>
    <w:pPr>
      <w:keepNext/>
      <w:keepLines/>
      <w:spacing w:before="240" w:after="0"/>
      <w:outlineLvl w:val="0"/>
    </w:pPr>
    <w:rPr>
      <w:rFonts w:asciiTheme="majorHAnsi" w:eastAsiaTheme="majorEastAsia" w:hAnsiTheme="majorHAnsi" w:cstheme="majorBidi"/>
      <w:bCs/>
      <w:sz w:val="42"/>
      <w:szCs w:val="28"/>
    </w:rPr>
  </w:style>
  <w:style w:type="paragraph" w:styleId="Heading2">
    <w:name w:val="heading 2"/>
    <w:basedOn w:val="Normal"/>
    <w:next w:val="Normal"/>
    <w:link w:val="Heading2Char"/>
    <w:uiPriority w:val="9"/>
    <w:qFormat/>
    <w:rsid w:val="00D40B8A"/>
    <w:pPr>
      <w:keepNext/>
      <w:keepLines/>
      <w:spacing w:before="200" w:after="0"/>
      <w:outlineLvl w:val="1"/>
    </w:pPr>
    <w:rPr>
      <w:rFonts w:asciiTheme="majorHAnsi" w:eastAsiaTheme="majorEastAsia" w:hAnsiTheme="majorHAnsi" w:cstheme="majorBidi"/>
      <w:b/>
      <w:bCs/>
      <w:color w:val="55564D" w:themeColor="background2" w:themeShade="80"/>
      <w:sz w:val="30"/>
      <w:szCs w:val="26"/>
    </w:rPr>
  </w:style>
  <w:style w:type="paragraph" w:styleId="Heading3">
    <w:name w:val="heading 3"/>
    <w:basedOn w:val="Normal"/>
    <w:next w:val="Normal"/>
    <w:link w:val="Heading3Char"/>
    <w:uiPriority w:val="9"/>
    <w:qFormat/>
    <w:rsid w:val="00D40B8A"/>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D40B8A"/>
    <w:pPr>
      <w:keepNext/>
      <w:keepLines/>
      <w:spacing w:before="200" w:after="0"/>
      <w:outlineLvl w:val="3"/>
    </w:pPr>
    <w:rPr>
      <w:rFonts w:asciiTheme="majorHAnsi" w:eastAsiaTheme="majorEastAsia" w:hAnsiTheme="majorHAnsi" w:cstheme="majorBidi"/>
      <w:b/>
      <w:bCs/>
      <w:iCs/>
      <w:caps/>
      <w:color w:val="55564D" w:themeColor="background2" w:themeShade="80"/>
      <w:sz w:val="18"/>
    </w:rPr>
  </w:style>
  <w:style w:type="paragraph" w:styleId="Heading5">
    <w:name w:val="heading 5"/>
    <w:basedOn w:val="Normal"/>
    <w:next w:val="Normal"/>
    <w:link w:val="Heading5Char"/>
    <w:uiPriority w:val="9"/>
    <w:qFormat/>
    <w:rsid w:val="00D40B8A"/>
    <w:pPr>
      <w:keepLines/>
      <w:spacing w:before="20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qFormat/>
    <w:rsid w:val="00D40B8A"/>
    <w:pPr>
      <w:keepLines/>
      <w:spacing w:before="200" w:after="0"/>
      <w:outlineLvl w:val="5"/>
    </w:pPr>
    <w:rPr>
      <w:rFonts w:asciiTheme="majorHAnsi" w:eastAsiaTheme="majorEastAsia" w:hAnsiTheme="majorHAnsi" w:cstheme="majorBidi"/>
      <w:i/>
      <w:iCs/>
      <w:color w:val="A8A99E" w:themeColor="background2"/>
      <w:sz w:val="18"/>
    </w:rPr>
  </w:style>
  <w:style w:type="paragraph" w:styleId="Heading7">
    <w:name w:val="heading 7"/>
    <w:basedOn w:val="Normal"/>
    <w:next w:val="Normal"/>
    <w:link w:val="Heading7Char"/>
    <w:uiPriority w:val="9"/>
    <w:semiHidden/>
    <w:unhideWhenUsed/>
    <w:rsid w:val="00D9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D9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D40B8A"/>
    <w:pPr>
      <w:spacing w:after="0"/>
      <w:outlineLvl w:val="8"/>
    </w:pPr>
    <w:rPr>
      <w:b/>
      <w:i/>
      <w:color w:val="A8A99E" w:themeColor="background2"/>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8A"/>
    <w:rPr>
      <w:rFonts w:asciiTheme="majorHAnsi" w:eastAsiaTheme="majorEastAsia" w:hAnsiTheme="majorHAnsi" w:cstheme="majorBidi"/>
      <w:bCs/>
      <w:sz w:val="42"/>
      <w:szCs w:val="28"/>
    </w:rPr>
  </w:style>
  <w:style w:type="character" w:customStyle="1" w:styleId="Heading2Char">
    <w:name w:val="Heading 2 Char"/>
    <w:basedOn w:val="DefaultParagraphFont"/>
    <w:link w:val="Heading2"/>
    <w:uiPriority w:val="9"/>
    <w:rsid w:val="00D40B8A"/>
    <w:rPr>
      <w:rFonts w:asciiTheme="majorHAnsi" w:eastAsiaTheme="majorEastAsia" w:hAnsiTheme="majorHAnsi" w:cstheme="majorBidi"/>
      <w:b/>
      <w:bCs/>
      <w:color w:val="55564D" w:themeColor="background2" w:themeShade="80"/>
      <w:sz w:val="30"/>
      <w:szCs w:val="26"/>
    </w:rPr>
  </w:style>
  <w:style w:type="character" w:customStyle="1" w:styleId="Heading3Char">
    <w:name w:val="Heading 3 Char"/>
    <w:basedOn w:val="DefaultParagraphFont"/>
    <w:link w:val="Heading3"/>
    <w:uiPriority w:val="9"/>
    <w:rsid w:val="00D40B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40B8A"/>
    <w:rPr>
      <w:rFonts w:asciiTheme="majorHAnsi" w:eastAsiaTheme="majorEastAsia" w:hAnsiTheme="majorHAnsi" w:cstheme="majorBidi"/>
      <w:b/>
      <w:bCs/>
      <w:iCs/>
      <w:caps/>
      <w:color w:val="55564D" w:themeColor="background2" w:themeShade="80"/>
      <w:sz w:val="18"/>
    </w:rPr>
  </w:style>
  <w:style w:type="character" w:customStyle="1" w:styleId="Heading5Char">
    <w:name w:val="Heading 5 Char"/>
    <w:basedOn w:val="DefaultParagraphFont"/>
    <w:link w:val="Heading5"/>
    <w:uiPriority w:val="9"/>
    <w:rsid w:val="00D40B8A"/>
    <w:rPr>
      <w:rFonts w:asciiTheme="majorHAnsi" w:eastAsiaTheme="majorEastAsia" w:hAnsiTheme="majorHAnsi" w:cstheme="majorBidi"/>
      <w:b/>
      <w:sz w:val="18"/>
    </w:rPr>
  </w:style>
  <w:style w:type="character" w:customStyle="1" w:styleId="Heading6Char">
    <w:name w:val="Heading 6 Char"/>
    <w:basedOn w:val="DefaultParagraphFont"/>
    <w:link w:val="Heading6"/>
    <w:uiPriority w:val="9"/>
    <w:rsid w:val="00D40B8A"/>
    <w:rPr>
      <w:rFonts w:asciiTheme="majorHAnsi" w:eastAsiaTheme="majorEastAsia" w:hAnsiTheme="majorHAnsi" w:cstheme="majorBidi"/>
      <w:i/>
      <w:iCs/>
      <w:color w:val="A8A99E" w:themeColor="background2"/>
      <w:sz w:val="18"/>
    </w:rPr>
  </w:style>
  <w:style w:type="character" w:customStyle="1" w:styleId="Heading7Char">
    <w:name w:val="Heading 7 Char"/>
    <w:basedOn w:val="DefaultParagraphFont"/>
    <w:link w:val="Heading7"/>
    <w:uiPriority w:val="9"/>
    <w:semiHidden/>
    <w:rsid w:val="00D9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40B8A"/>
    <w:rPr>
      <w:b/>
      <w:i/>
      <w:color w:val="A8A99E" w:themeColor="background2"/>
      <w:sz w:val="17"/>
    </w:rPr>
  </w:style>
  <w:style w:type="paragraph" w:styleId="Title">
    <w:name w:val="Title"/>
    <w:basedOn w:val="Normal"/>
    <w:next w:val="Normal"/>
    <w:link w:val="TitleChar"/>
    <w:uiPriority w:val="10"/>
    <w:rsid w:val="00D9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9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D95BF6"/>
    <w:pPr>
      <w:spacing w:before="160"/>
      <w:jc w:val="center"/>
    </w:pPr>
    <w:rPr>
      <w:i/>
      <w:iCs/>
      <w:color w:val="404040" w:themeColor="text1" w:themeTint="BF"/>
    </w:rPr>
  </w:style>
  <w:style w:type="character" w:customStyle="1" w:styleId="QuoteChar">
    <w:name w:val="Quote Char"/>
    <w:basedOn w:val="DefaultParagraphFont"/>
    <w:link w:val="Quote"/>
    <w:uiPriority w:val="29"/>
    <w:rsid w:val="00D95BF6"/>
    <w:rPr>
      <w:i/>
      <w:iCs/>
      <w:color w:val="404040" w:themeColor="text1" w:themeTint="BF"/>
    </w:rPr>
  </w:style>
  <w:style w:type="paragraph" w:styleId="ListParagraph">
    <w:name w:val="List Paragraph"/>
    <w:basedOn w:val="Normal"/>
    <w:uiPriority w:val="34"/>
    <w:rsid w:val="00D95BF6"/>
    <w:pPr>
      <w:ind w:left="720"/>
      <w:contextualSpacing/>
    </w:pPr>
  </w:style>
  <w:style w:type="character" w:styleId="IntenseEmphasis">
    <w:name w:val="Intense Emphasis"/>
    <w:basedOn w:val="DefaultParagraphFont"/>
    <w:uiPriority w:val="21"/>
    <w:rsid w:val="00D95BF6"/>
    <w:rPr>
      <w:i/>
      <w:iCs/>
      <w:color w:val="317187" w:themeColor="accent1" w:themeShade="BF"/>
    </w:rPr>
  </w:style>
  <w:style w:type="paragraph" w:styleId="IntenseQuote">
    <w:name w:val="Intense Quote"/>
    <w:basedOn w:val="Normal"/>
    <w:next w:val="Normal"/>
    <w:link w:val="IntenseQuoteChar"/>
    <w:uiPriority w:val="30"/>
    <w:rsid w:val="00D95BF6"/>
    <w:pPr>
      <w:pBdr>
        <w:top w:val="single" w:sz="4" w:space="10" w:color="317187" w:themeColor="accent1" w:themeShade="BF"/>
        <w:bottom w:val="single" w:sz="4" w:space="10" w:color="317187" w:themeColor="accent1" w:themeShade="BF"/>
      </w:pBdr>
      <w:spacing w:before="360" w:after="360"/>
      <w:ind w:left="864" w:right="864"/>
      <w:jc w:val="center"/>
    </w:pPr>
    <w:rPr>
      <w:i/>
      <w:iCs/>
      <w:color w:val="317187" w:themeColor="accent1" w:themeShade="BF"/>
    </w:rPr>
  </w:style>
  <w:style w:type="character" w:customStyle="1" w:styleId="IntenseQuoteChar">
    <w:name w:val="Intense Quote Char"/>
    <w:basedOn w:val="DefaultParagraphFont"/>
    <w:link w:val="IntenseQuote"/>
    <w:uiPriority w:val="30"/>
    <w:rsid w:val="00D95BF6"/>
    <w:rPr>
      <w:i/>
      <w:iCs/>
      <w:color w:val="317187" w:themeColor="accent1" w:themeShade="BF"/>
    </w:rPr>
  </w:style>
  <w:style w:type="character" w:styleId="IntenseReference">
    <w:name w:val="Intense Reference"/>
    <w:basedOn w:val="DefaultParagraphFont"/>
    <w:uiPriority w:val="32"/>
    <w:rsid w:val="00D95BF6"/>
    <w:rPr>
      <w:b/>
      <w:bCs/>
      <w:smallCaps/>
      <w:color w:val="317187" w:themeColor="accent1" w:themeShade="BF"/>
      <w:spacing w:val="5"/>
    </w:rPr>
  </w:style>
  <w:style w:type="paragraph" w:customStyle="1" w:styleId="12pt">
    <w:name w:val="12pt"/>
    <w:basedOn w:val="Normal"/>
    <w:uiPriority w:val="1"/>
    <w:qFormat/>
    <w:rsid w:val="00D40B8A"/>
    <w:rPr>
      <w:sz w:val="24"/>
    </w:rPr>
  </w:style>
  <w:style w:type="paragraph" w:customStyle="1" w:styleId="10pt">
    <w:name w:val="10pt"/>
    <w:basedOn w:val="Normal"/>
    <w:uiPriority w:val="1"/>
    <w:qFormat/>
    <w:rsid w:val="00D40B8A"/>
    <w:rPr>
      <w:sz w:val="20"/>
    </w:rPr>
  </w:style>
  <w:style w:type="character" w:customStyle="1" w:styleId="Affiliations">
    <w:name w:val="Affiliations"/>
    <w:basedOn w:val="DefaultParagraphFont"/>
    <w:uiPriority w:val="10"/>
    <w:semiHidden/>
    <w:unhideWhenUsed/>
    <w:qFormat/>
    <w:rsid w:val="00D40B8A"/>
    <w:rPr>
      <w:rFonts w:ascii="Arial" w:hAnsi="Arial"/>
      <w:caps/>
      <w:smallCaps w:val="0"/>
      <w:color w:val="FFFFFF" w:themeColor="background1"/>
      <w:sz w:val="24"/>
    </w:rPr>
  </w:style>
  <w:style w:type="paragraph" w:customStyle="1" w:styleId="DividerTitle">
    <w:name w:val="Divider Title"/>
    <w:basedOn w:val="Title"/>
    <w:uiPriority w:val="11"/>
    <w:semiHidden/>
    <w:unhideWhenUsed/>
    <w:qFormat/>
    <w:rsid w:val="00D40B8A"/>
    <w:pPr>
      <w:spacing w:before="200" w:after="120"/>
      <w:contextualSpacing w:val="0"/>
    </w:pPr>
    <w:rPr>
      <w:rFonts w:ascii="Arial Narrow" w:eastAsiaTheme="minorHAnsi" w:hAnsi="Arial Narrow" w:cstheme="minorBidi"/>
      <w:spacing w:val="0"/>
      <w:kern w:val="0"/>
      <w:sz w:val="44"/>
      <w:szCs w:val="48"/>
    </w:rPr>
  </w:style>
  <w:style w:type="paragraph" w:customStyle="1" w:styleId="Divider">
    <w:name w:val="Divider #"/>
    <w:basedOn w:val="DividerTitle"/>
    <w:uiPriority w:val="11"/>
    <w:semiHidden/>
    <w:unhideWhenUsed/>
    <w:qFormat/>
    <w:rsid w:val="00D40B8A"/>
    <w:rPr>
      <w:color w:val="000000" w:themeColor="text1"/>
      <w:sz w:val="220"/>
    </w:rPr>
  </w:style>
  <w:style w:type="paragraph" w:customStyle="1" w:styleId="BibliographyAuthor">
    <w:name w:val="BibliographyAuthor"/>
    <w:basedOn w:val="Bibliography"/>
    <w:uiPriority w:val="37"/>
    <w:semiHidden/>
    <w:unhideWhenUsed/>
    <w:qFormat/>
    <w:rsid w:val="00D40B8A"/>
    <w:pPr>
      <w:keepNext/>
      <w:keepLines/>
    </w:pPr>
    <w:rPr>
      <w:b/>
    </w:rPr>
  </w:style>
  <w:style w:type="paragraph" w:styleId="Bibliography">
    <w:name w:val="Bibliography"/>
    <w:basedOn w:val="Normal"/>
    <w:next w:val="Normal"/>
    <w:uiPriority w:val="37"/>
    <w:semiHidden/>
    <w:unhideWhenUsed/>
    <w:rsid w:val="00D40B8A"/>
  </w:style>
  <w:style w:type="paragraph" w:customStyle="1" w:styleId="HDRFooter">
    <w:name w:val="HDR Footer"/>
    <w:basedOn w:val="Normal"/>
    <w:uiPriority w:val="19"/>
    <w:qFormat/>
    <w:rsid w:val="00D40B8A"/>
    <w:pPr>
      <w:tabs>
        <w:tab w:val="center" w:pos="4680"/>
        <w:tab w:val="right" w:pos="9360"/>
      </w:tabs>
      <w:spacing w:after="0" w:line="240" w:lineRule="auto"/>
    </w:pPr>
    <w:rPr>
      <w:color w:val="54585A" w:themeColor="text2"/>
      <w:sz w:val="16"/>
    </w:rPr>
  </w:style>
  <w:style w:type="paragraph" w:styleId="Caption">
    <w:name w:val="caption"/>
    <w:basedOn w:val="Normal"/>
    <w:next w:val="Normal"/>
    <w:uiPriority w:val="35"/>
    <w:semiHidden/>
    <w:unhideWhenUsed/>
    <w:qFormat/>
    <w:rsid w:val="00D40B8A"/>
    <w:pPr>
      <w:spacing w:line="240" w:lineRule="auto"/>
    </w:pPr>
    <w:rPr>
      <w:b/>
      <w:bCs/>
      <w:color w:val="000000" w:themeColor="text1"/>
      <w:sz w:val="18"/>
      <w:szCs w:val="18"/>
    </w:rPr>
  </w:style>
  <w:style w:type="paragraph" w:styleId="NoSpacing">
    <w:name w:val="No Spacing"/>
    <w:link w:val="NoSpacingChar"/>
    <w:uiPriority w:val="1"/>
    <w:qFormat/>
    <w:rsid w:val="00D40B8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40B8A"/>
    <w:rPr>
      <w:rFonts w:eastAsiaTheme="minorEastAsia"/>
      <w:lang w:eastAsia="ja-JP"/>
    </w:rPr>
  </w:style>
  <w:style w:type="paragraph" w:styleId="TOCHeading">
    <w:name w:val="TOC Heading"/>
    <w:basedOn w:val="Heading1"/>
    <w:next w:val="Normal"/>
    <w:uiPriority w:val="39"/>
    <w:semiHidden/>
    <w:unhideWhenUsed/>
    <w:qFormat/>
    <w:rsid w:val="00D40B8A"/>
    <w:pPr>
      <w:outlineLvl w:val="9"/>
    </w:pPr>
    <w:rPr>
      <w:b/>
      <w:sz w:val="28"/>
    </w:rPr>
  </w:style>
  <w:style w:type="paragraph" w:styleId="Header">
    <w:name w:val="header"/>
    <w:basedOn w:val="Normal"/>
    <w:link w:val="HeaderChar"/>
    <w:uiPriority w:val="99"/>
    <w:unhideWhenUsed/>
    <w:rsid w:val="00D4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B8A"/>
  </w:style>
  <w:style w:type="paragraph" w:styleId="Footer">
    <w:name w:val="footer"/>
    <w:basedOn w:val="Normal"/>
    <w:link w:val="FooterChar"/>
    <w:uiPriority w:val="99"/>
    <w:unhideWhenUsed/>
    <w:rsid w:val="00D4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B8A"/>
  </w:style>
  <w:style w:type="character" w:styleId="PlaceholderText">
    <w:name w:val="Placeholder Text"/>
    <w:basedOn w:val="DefaultParagraphFont"/>
    <w:uiPriority w:val="99"/>
    <w:semiHidden/>
    <w:rsid w:val="00D40B8A"/>
    <w:rPr>
      <w:color w:val="808080"/>
    </w:rPr>
  </w:style>
  <w:style w:type="table" w:customStyle="1" w:styleId="HDRFormTable">
    <w:name w:val="HDR Form Table"/>
    <w:basedOn w:val="TableNormal"/>
    <w:uiPriority w:val="99"/>
    <w:rsid w:val="00D40B8A"/>
    <w:pPr>
      <w:spacing w:after="0" w:line="240" w:lineRule="auto"/>
    </w:pPr>
    <w:rPr>
      <w:sz w:val="18"/>
    </w:rPr>
    <w:tblPr/>
  </w:style>
  <w:style w:type="paragraph" w:customStyle="1" w:styleId="HDRHeader">
    <w:name w:val="HDR Header"/>
    <w:basedOn w:val="Header"/>
    <w:uiPriority w:val="19"/>
    <w:rsid w:val="00D40B8A"/>
    <w:rPr>
      <w:noProof/>
      <w:color w:val="000000" w:themeColor="text1"/>
      <w:sz w:val="16"/>
    </w:rPr>
  </w:style>
  <w:style w:type="character" w:styleId="Strong">
    <w:name w:val="Strong"/>
    <w:basedOn w:val="DefaultParagraphFont"/>
    <w:uiPriority w:val="22"/>
    <w:rsid w:val="00D40B8A"/>
    <w:rPr>
      <w:b/>
      <w:bCs/>
    </w:rPr>
  </w:style>
  <w:style w:type="paragraph" w:styleId="Revision">
    <w:name w:val="Revision"/>
    <w:hidden/>
    <w:uiPriority w:val="99"/>
    <w:semiHidden/>
    <w:rsid w:val="008329BF"/>
    <w:pPr>
      <w:spacing w:after="0" w:line="240" w:lineRule="auto"/>
    </w:pPr>
  </w:style>
  <w:style w:type="character" w:styleId="CommentReference">
    <w:name w:val="annotation reference"/>
    <w:basedOn w:val="DefaultParagraphFont"/>
    <w:uiPriority w:val="99"/>
    <w:semiHidden/>
    <w:unhideWhenUsed/>
    <w:rsid w:val="008329BF"/>
    <w:rPr>
      <w:sz w:val="16"/>
      <w:szCs w:val="16"/>
    </w:rPr>
  </w:style>
  <w:style w:type="paragraph" w:styleId="CommentText">
    <w:name w:val="annotation text"/>
    <w:basedOn w:val="Normal"/>
    <w:link w:val="CommentTextChar"/>
    <w:uiPriority w:val="99"/>
    <w:unhideWhenUsed/>
    <w:rsid w:val="008329BF"/>
    <w:pPr>
      <w:spacing w:line="240" w:lineRule="auto"/>
    </w:pPr>
    <w:rPr>
      <w:sz w:val="20"/>
      <w:szCs w:val="20"/>
    </w:rPr>
  </w:style>
  <w:style w:type="character" w:customStyle="1" w:styleId="CommentTextChar">
    <w:name w:val="Comment Text Char"/>
    <w:basedOn w:val="DefaultParagraphFont"/>
    <w:link w:val="CommentText"/>
    <w:uiPriority w:val="99"/>
    <w:rsid w:val="008329BF"/>
    <w:rPr>
      <w:sz w:val="20"/>
      <w:szCs w:val="20"/>
    </w:rPr>
  </w:style>
  <w:style w:type="paragraph" w:styleId="CommentSubject">
    <w:name w:val="annotation subject"/>
    <w:basedOn w:val="CommentText"/>
    <w:next w:val="CommentText"/>
    <w:link w:val="CommentSubjectChar"/>
    <w:uiPriority w:val="99"/>
    <w:semiHidden/>
    <w:unhideWhenUsed/>
    <w:rsid w:val="008329BF"/>
    <w:rPr>
      <w:b/>
      <w:bCs/>
    </w:rPr>
  </w:style>
  <w:style w:type="character" w:customStyle="1" w:styleId="CommentSubjectChar">
    <w:name w:val="Comment Subject Char"/>
    <w:basedOn w:val="CommentTextChar"/>
    <w:link w:val="CommentSubject"/>
    <w:uiPriority w:val="99"/>
    <w:semiHidden/>
    <w:rsid w:val="00832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HDR_WordTheme">
  <a:themeElements>
    <a:clrScheme name="HDR_WORD-BrandingBright">
      <a:dk1>
        <a:sysClr val="windowText" lastClr="000000"/>
      </a:dk1>
      <a:lt1>
        <a:sysClr val="window" lastClr="FFFFFF"/>
      </a:lt1>
      <a:dk2>
        <a:srgbClr val="54585A"/>
      </a:dk2>
      <a:lt2>
        <a:srgbClr val="A8A99E"/>
      </a:lt2>
      <a:accent1>
        <a:srgbClr val="4298B5"/>
      </a:accent1>
      <a:accent2>
        <a:srgbClr val="C8102E"/>
      </a:accent2>
      <a:accent3>
        <a:srgbClr val="CA005D"/>
      </a:accent3>
      <a:accent4>
        <a:srgbClr val="FF8200"/>
      </a:accent4>
      <a:accent5>
        <a:srgbClr val="FFC600"/>
      </a:accent5>
      <a:accent6>
        <a:srgbClr val="78BE20"/>
      </a:accent6>
      <a:hlink>
        <a:srgbClr val="00549F"/>
      </a:hlink>
      <a:folHlink>
        <a:srgbClr val="6B1F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7FB936E39C14C8AFC822A6036A796" ma:contentTypeVersion="11" ma:contentTypeDescription="Create a new document." ma:contentTypeScope="" ma:versionID="7c44c3e5f2d561b2ce0059ba3d6d3927">
  <xsd:schema xmlns:xsd="http://www.w3.org/2001/XMLSchema" xmlns:xs="http://www.w3.org/2001/XMLSchema" xmlns:p="http://schemas.microsoft.com/office/2006/metadata/properties" xmlns:ns2="c5c686a1-d4a3-44e6-bdc5-657d7574ecac" xmlns:ns3="7d2403db-75b1-4aeb-b390-511d5b781d8d" targetNamespace="http://schemas.microsoft.com/office/2006/metadata/properties" ma:root="true" ma:fieldsID="46ee9cde5a0bc9a2f0dbad282358161c" ns2:_="" ns3:_="">
    <xsd:import namespace="c5c686a1-d4a3-44e6-bdc5-657d7574ecac"/>
    <xsd:import namespace="7d2403db-75b1-4aeb-b390-511d5b781d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686a1-d4a3-44e6-bdc5-657d7574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403db-75b1-4aeb-b390-511d5b781d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140a3-f9b2-48e0-aab0-e4f9e545f5f7}" ma:internalName="TaxCatchAll" ma:showField="CatchAllData" ma:web="7d2403db-75b1-4aeb-b390-511d5b781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2403db-75b1-4aeb-b390-511d5b781d8d" xsi:nil="true"/>
    <lcf76f155ced4ddcb4097134ff3c332f xmlns="c5c686a1-d4a3-44e6-bdc5-657d7574e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37B85A-5829-4993-99D1-1D217B9A650E}">
  <ds:schemaRefs>
    <ds:schemaRef ds:uri="http://schemas.microsoft.com/sharepoint/v3/contenttype/forms"/>
  </ds:schemaRefs>
</ds:datastoreItem>
</file>

<file path=customXml/itemProps2.xml><?xml version="1.0" encoding="utf-8"?>
<ds:datastoreItem xmlns:ds="http://schemas.openxmlformats.org/officeDocument/2006/customXml" ds:itemID="{E767D578-EBF7-443B-A7A0-4BE21D7A9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686a1-d4a3-44e6-bdc5-657d7574ecac"/>
    <ds:schemaRef ds:uri="7d2403db-75b1-4aeb-b390-511d5b781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80684-403C-4DA2-B1E6-FB44A249E026}">
  <ds:schemaRefs>
    <ds:schemaRef ds:uri="http://schemas.microsoft.com/office/2006/metadata/properties"/>
    <ds:schemaRef ds:uri="http://schemas.microsoft.com/office/infopath/2007/PartnerControls"/>
    <ds:schemaRef ds:uri="7d2403db-75b1-4aeb-b390-511d5b781d8d"/>
    <ds:schemaRef ds:uri="c5c686a1-d4a3-44e6-bdc5-657d7574ecac"/>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Patrick</dc:creator>
  <cp:keywords/>
  <dc:description/>
  <cp:lastModifiedBy>McDonough, Patrick</cp:lastModifiedBy>
  <cp:revision>12</cp:revision>
  <dcterms:created xsi:type="dcterms:W3CDTF">2025-06-30T16:17:00Z</dcterms:created>
  <dcterms:modified xsi:type="dcterms:W3CDTF">2025-06-30T21:16:00Z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0x0101007927FB936E39C14C8AFC822A6036A796</vt:lpwstr>
  </property>
  <property fmtid="{D5CDD505-2E9C-101B-9397-08002B2CF9AE}" pid="3" name="MediaServiceImageTags">
    <vt:lpwstr/>
  </property>
</Properties>
</file>