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91B5" w14:textId="1D697A04" w:rsidR="00A67D9D" w:rsidRPr="00D95BF6" w:rsidRDefault="008314D8" w:rsidP="00D40B8A">
      <w:pPr>
        <w:pStyle w:val="Heading1"/>
      </w:pPr>
      <w:r>
        <w:t xml:space="preserve">Local </w:t>
      </w:r>
      <w:r w:rsidR="5DBD1805">
        <w:t>Funding</w:t>
      </w:r>
      <w:r>
        <w:t xml:space="preserve"> Prioritization </w:t>
      </w:r>
      <w:r w:rsidR="00047978">
        <w:t>Decision Tree</w:t>
      </w:r>
    </w:p>
    <w:p w14:paraId="68C675E0" w14:textId="77777777" w:rsidR="00F23AB0" w:rsidRDefault="00F23AB0" w:rsidP="00F23AB0">
      <w:pPr>
        <w:rPr>
          <w:b/>
          <w:bCs/>
        </w:rPr>
      </w:pPr>
    </w:p>
    <w:p w14:paraId="73A3C9B9" w14:textId="3E89B49E" w:rsidR="00F23AB0" w:rsidRDefault="002833AD" w:rsidP="00F23AB0">
      <w:r>
        <w:rPr>
          <w:b/>
          <w:bCs/>
        </w:rPr>
        <w:t>BACKGROUND</w:t>
      </w:r>
    </w:p>
    <w:p w14:paraId="7D1A73D2" w14:textId="400D2626" w:rsidR="007A41C6" w:rsidRDefault="002833AD" w:rsidP="008314D8">
      <w:r>
        <w:t>As part of the Triangle Rail Study co-sponsored by the Capital Area Metropolitan Planning Organization (CAMPO) and the Triangle West Transportation Planning Organization (TWTPO)</w:t>
      </w:r>
      <w:r w:rsidR="006C5DEC">
        <w:t xml:space="preserve">, the </w:t>
      </w:r>
      <w:r w:rsidR="008314D8">
        <w:t xml:space="preserve">analysis of candidate projects </w:t>
      </w:r>
      <w:r w:rsidR="00F44163">
        <w:t xml:space="preserve">assessed the potential for projects to align with federal funding programs such as CRISI, </w:t>
      </w:r>
      <w:r w:rsidR="00C72B9E">
        <w:t>BUILD, Federal-State Partnership, an</w:t>
      </w:r>
      <w:r w:rsidR="00243437">
        <w:t>d with NCDOT’s SPOT process.</w:t>
      </w:r>
    </w:p>
    <w:p w14:paraId="25E88B43" w14:textId="77777777" w:rsidR="002D0CC7" w:rsidRDefault="00C72B9E" w:rsidP="008314D8">
      <w:r>
        <w:t xml:space="preserve">However, there may be times when Triangle communities seek to incrementally invest in the regional rail network </w:t>
      </w:r>
      <w:r w:rsidR="00243437">
        <w:t>separately from those state and federal funding partnerships</w:t>
      </w:r>
      <w:r w:rsidR="002D0CC7">
        <w:t xml:space="preserve"> using local funds</w:t>
      </w:r>
      <w:r w:rsidR="00243437">
        <w:t>.</w:t>
      </w:r>
    </w:p>
    <w:p w14:paraId="2A223CDE" w14:textId="3D2F74DF" w:rsidR="00C72B9E" w:rsidRPr="00BC0E87" w:rsidRDefault="002D0CC7" w:rsidP="008314D8">
      <w:r>
        <w:t xml:space="preserve">This memo provides </w:t>
      </w:r>
      <w:r w:rsidR="00653082">
        <w:t xml:space="preserve">an order in which to proceed that can support incremental investment in a way that </w:t>
      </w:r>
      <w:r w:rsidR="00522DEB">
        <w:t>pursues “low-hanging fruit” projects opportunistically, while strategically investing in key assets that are much more challenging to fund under state and federal programs.</w:t>
      </w:r>
      <w:r w:rsidR="00243437">
        <w:t xml:space="preserve"> </w:t>
      </w:r>
    </w:p>
    <w:p w14:paraId="75A9B011" w14:textId="41080259" w:rsidR="00F97BC3" w:rsidRDefault="00594F84" w:rsidP="00F23AB0">
      <w:r>
        <w:rPr>
          <w:b/>
          <w:bCs/>
        </w:rPr>
        <w:t>CATEGORY 1: GRADE CROSSING</w:t>
      </w:r>
      <w:r w:rsidR="00ED5AFC">
        <w:rPr>
          <w:b/>
          <w:bCs/>
        </w:rPr>
        <w:t xml:space="preserve"> ELIMINATIONS</w:t>
      </w:r>
    </w:p>
    <w:p w14:paraId="52D3A8FF" w14:textId="076F2715" w:rsidR="00D25757" w:rsidRDefault="00D25757" w:rsidP="00F23AB0">
      <w:r>
        <w:t>Whether by introducing a new grade separation, or simply closing an existing grade crossing, each closure moves the railroad closer to being a sealed corridor</w:t>
      </w:r>
      <w:r w:rsidR="00BD4522">
        <w:t>,</w:t>
      </w:r>
      <w:r>
        <w:t xml:space="preserve"> which improves safety for rail and road stakeholders</w:t>
      </w:r>
      <w:r w:rsidR="00262F68">
        <w:t>, while also increasing capacity</w:t>
      </w:r>
      <w:r w:rsidR="00E82B82">
        <w:t xml:space="preserve"> of rail lines</w:t>
      </w:r>
      <w:r w:rsidR="00262F68">
        <w:t xml:space="preserve"> and reliability for</w:t>
      </w:r>
      <w:r w:rsidR="00E82B82">
        <w:t xml:space="preserve"> freight and passenger services</w:t>
      </w:r>
      <w:r w:rsidR="00262F68">
        <w:t xml:space="preserve"> </w:t>
      </w:r>
      <w:r w:rsidR="00E82B82">
        <w:t>alike</w:t>
      </w:r>
      <w:r>
        <w:t>.</w:t>
      </w:r>
    </w:p>
    <w:p w14:paraId="7B89F2D7" w14:textId="4E63C616" w:rsidR="00D25757" w:rsidRDefault="00D25757" w:rsidP="00F23AB0">
      <w:r>
        <w:t xml:space="preserve">When there are multiple grade crossings along the same </w:t>
      </w:r>
      <w:r w:rsidR="00162A24">
        <w:t xml:space="preserve">rail line, the at-grade crossings with the greatest car traffic offer the </w:t>
      </w:r>
      <w:r w:rsidR="003608D4">
        <w:t>greatest safety benefits when closed</w:t>
      </w:r>
      <w:r w:rsidR="00162A24">
        <w:t>, as the daily rail traffic through each at-grade crossing may be identical.</w:t>
      </w:r>
    </w:p>
    <w:p w14:paraId="67E60740" w14:textId="606CF6D7" w:rsidR="007F1275" w:rsidRDefault="00AF63A0" w:rsidP="00F23AB0">
      <w:r>
        <w:t>It is worth noting that</w:t>
      </w:r>
      <w:r w:rsidR="00F65BE1">
        <w:t xml:space="preserve">, when working with freight rail operators to </w:t>
      </w:r>
      <w:r w:rsidR="00C44534">
        <w:t>approve a grade crossing separation</w:t>
      </w:r>
      <w:r w:rsidR="009D4A1F">
        <w:t xml:space="preserve"> project</w:t>
      </w:r>
      <w:r w:rsidR="00C44534">
        <w:t xml:space="preserve">, they will often require </w:t>
      </w:r>
      <w:r w:rsidR="002B08E5">
        <w:t xml:space="preserve">the closing of two additional grade crossings. </w:t>
      </w:r>
      <w:r w:rsidR="00FE6A7C">
        <w:t xml:space="preserve">This </w:t>
      </w:r>
      <w:r w:rsidR="00AE7705">
        <w:t>freight railroading</w:t>
      </w:r>
      <w:r w:rsidR="008B5741">
        <w:t xml:space="preserve"> practice incentivizes</w:t>
      </w:r>
      <w:r w:rsidR="00406A58">
        <w:t xml:space="preserve"> municipalities to </w:t>
      </w:r>
      <w:r w:rsidR="000F61D2">
        <w:t xml:space="preserve">combine grade crossing projects. </w:t>
      </w:r>
      <w:r w:rsidR="00C17FE0">
        <w:t xml:space="preserve">Identifying </w:t>
      </w:r>
      <w:r w:rsidR="00F95C44">
        <w:t xml:space="preserve">higher traffic roads where municipalities can close multiple crossings will </w:t>
      </w:r>
      <w:r w:rsidR="00F06078">
        <w:t>improve a project’s safety score in NCDOT’s SPOT criteria and</w:t>
      </w:r>
      <w:r w:rsidR="00755DE5">
        <w:t xml:space="preserve"> </w:t>
      </w:r>
      <w:r w:rsidR="005E3F51">
        <w:t xml:space="preserve">increase state funding </w:t>
      </w:r>
      <w:r w:rsidR="0026088C">
        <w:t>competitiveness</w:t>
      </w:r>
      <w:r w:rsidR="005E3F51">
        <w:t xml:space="preserve"> for grade separation projects</w:t>
      </w:r>
      <w:r w:rsidR="0026088C">
        <w:t>.</w:t>
      </w:r>
    </w:p>
    <w:p w14:paraId="0FDE5304" w14:textId="6CC1D164" w:rsidR="00162A24" w:rsidRDefault="00162A24" w:rsidP="00162A24">
      <w:r>
        <w:rPr>
          <w:b/>
          <w:bCs/>
        </w:rPr>
        <w:t xml:space="preserve">CATEGORY 2: </w:t>
      </w:r>
      <w:r w:rsidR="0089530F">
        <w:rPr>
          <w:b/>
          <w:bCs/>
        </w:rPr>
        <w:t>ADVANCING STATION WORK</w:t>
      </w:r>
    </w:p>
    <w:p w14:paraId="20691A32" w14:textId="18977A14" w:rsidR="00FC4E33" w:rsidRDefault="0089530F" w:rsidP="00162A24">
      <w:r>
        <w:t xml:space="preserve">NCDOT’s SPOT </w:t>
      </w:r>
      <w:r w:rsidR="00A64617">
        <w:t xml:space="preserve">process and </w:t>
      </w:r>
      <w:r>
        <w:t xml:space="preserve">criteria </w:t>
      </w:r>
      <w:r w:rsidR="00A64617">
        <w:t xml:space="preserve">offer </w:t>
      </w:r>
      <w:r w:rsidR="00FC4E33">
        <w:t>relatively few paths to funding</w:t>
      </w:r>
      <w:r>
        <w:t xml:space="preserve"> passenger rail investments</w:t>
      </w:r>
      <w:r w:rsidR="00960381">
        <w:t xml:space="preserve">. </w:t>
      </w:r>
    </w:p>
    <w:p w14:paraId="6D16BCF9" w14:textId="5D8C6D1F" w:rsidR="0089530F" w:rsidRDefault="002F44F6" w:rsidP="00162A24">
      <w:r>
        <w:t xml:space="preserve">Using local dollars to fund </w:t>
      </w:r>
      <w:r w:rsidR="00960381">
        <w:t>station buildings</w:t>
      </w:r>
      <w:r w:rsidR="00C46AF5">
        <w:t xml:space="preserve"> and </w:t>
      </w:r>
      <w:r w:rsidR="00960381">
        <w:t>platforms</w:t>
      </w:r>
      <w:r w:rsidR="00CF0502">
        <w:t>, and</w:t>
      </w:r>
      <w:r w:rsidR="00C46AF5">
        <w:t xml:space="preserve"> new station tracks</w:t>
      </w:r>
      <w:r w:rsidR="00960381">
        <w:t xml:space="preserve"> </w:t>
      </w:r>
      <w:r w:rsidR="001F2F0F">
        <w:t>are strategies</w:t>
      </w:r>
      <w:r w:rsidR="00960381">
        <w:t xml:space="preserve"> t</w:t>
      </w:r>
      <w:r w:rsidR="001F2F0F">
        <w:t>hat may</w:t>
      </w:r>
      <w:r w:rsidR="00960381">
        <w:t xml:space="preserve"> advance </w:t>
      </w:r>
      <w:r w:rsidR="00176ED0">
        <w:t>portion</w:t>
      </w:r>
      <w:r w:rsidR="00115F43">
        <w:t>s</w:t>
      </w:r>
      <w:r w:rsidR="00176ED0">
        <w:t xml:space="preserve"> of the system that </w:t>
      </w:r>
      <w:r w:rsidR="00115F43">
        <w:t>most galvanize the public to support continued expansion</w:t>
      </w:r>
      <w:r w:rsidR="006D0A31">
        <w:t xml:space="preserve">. </w:t>
      </w:r>
      <w:r w:rsidR="00915346">
        <w:t>Example projects could include</w:t>
      </w:r>
      <w:r w:rsidR="006D0A31">
        <w:t xml:space="preserve"> early engineering and NEPA studies or final design and construction. </w:t>
      </w:r>
    </w:p>
    <w:p w14:paraId="356CD792" w14:textId="41454E03" w:rsidR="006E6796" w:rsidRDefault="00201CF3" w:rsidP="00162A24">
      <w:r>
        <w:t>Within</w:t>
      </w:r>
      <w:r w:rsidRPr="00B77347">
        <w:t xml:space="preserve"> NC</w:t>
      </w:r>
      <w:r>
        <w:t xml:space="preserve">, </w:t>
      </w:r>
      <w:r w:rsidR="00EB22E3">
        <w:t xml:space="preserve">precedents for this strategy </w:t>
      </w:r>
      <w:r w:rsidR="003A22D4">
        <w:t xml:space="preserve">of investing in stations independent of </w:t>
      </w:r>
      <w:r w:rsidR="00E0404E">
        <w:t xml:space="preserve">an introduction of service </w:t>
      </w:r>
      <w:r w:rsidR="00B97665">
        <w:t>can be found in the station improvements from Salisbury to Asheville and the current Charlotte Gateway Station platform</w:t>
      </w:r>
      <w:r w:rsidR="006E6796">
        <w:t>.</w:t>
      </w:r>
    </w:p>
    <w:p w14:paraId="702B9B4D" w14:textId="423DF685" w:rsidR="00201CF3" w:rsidRDefault="00B97665" w:rsidP="00162A24">
      <w:r>
        <w:t xml:space="preserve"> </w:t>
      </w:r>
    </w:p>
    <w:p w14:paraId="4864EE63" w14:textId="615F59E4" w:rsidR="00633F19" w:rsidRDefault="00B16ADC" w:rsidP="00162A24">
      <w:r>
        <w:rPr>
          <w:b/>
          <w:bCs/>
        </w:rPr>
        <w:lastRenderedPageBreak/>
        <w:t>CATEGORY 3: PROTECTIVE PURCHASE OF LAND FOR REGIONAL MAINTENANCE FACILITIES AND LAYOVER YARDS</w:t>
      </w:r>
    </w:p>
    <w:p w14:paraId="17746957" w14:textId="4064CC60" w:rsidR="00162A24" w:rsidRPr="00D25757" w:rsidRDefault="00B16ADC" w:rsidP="00F23AB0">
      <w:r>
        <w:t>In a comparatively high-valu</w:t>
      </w:r>
      <w:r w:rsidR="00981E91">
        <w:t xml:space="preserve">e-per-acre real estate market, there are few available properties that could host a future </w:t>
      </w:r>
      <w:r w:rsidR="00D44137">
        <w:t>Triangle passenger rail maintenance facility. There may also be strategic end-of-line locations for individual service concepts</w:t>
      </w:r>
      <w:r w:rsidR="007C32F5">
        <w:t xml:space="preserve"> that need layover yards for train storage overnight. </w:t>
      </w:r>
      <w:r w:rsidR="000B15E3">
        <w:t>Using local revenues to make protective purchases of such sites may be necessary to deliver the region’s vision.</w:t>
      </w:r>
    </w:p>
    <w:p w14:paraId="7BA9CBAE" w14:textId="218EADAE" w:rsidR="000B15E3" w:rsidRDefault="000B15E3" w:rsidP="004532E8">
      <w:r>
        <w:rPr>
          <w:b/>
          <w:bCs/>
        </w:rPr>
        <w:t>CATEGORY 4: INTERLOCKINGS AND SIDINGS</w:t>
      </w:r>
    </w:p>
    <w:p w14:paraId="568AA841" w14:textId="095A7A2A" w:rsidR="008B447E" w:rsidRDefault="008B447E" w:rsidP="008B447E">
      <w:pPr>
        <w:spacing w:after="160" w:line="278" w:lineRule="auto"/>
      </w:pPr>
      <w:r>
        <w:t xml:space="preserve">Improvements </w:t>
      </w:r>
      <w:r w:rsidRPr="00B77347">
        <w:t xml:space="preserve">at interlockings/switches may pay higher dividends </w:t>
      </w:r>
      <w:r w:rsidR="00743CB7">
        <w:t xml:space="preserve">for freight rail decongestion </w:t>
      </w:r>
      <w:r w:rsidRPr="00B77347">
        <w:t>than sidings, though both are helpful. It may be best to do them together</w:t>
      </w:r>
      <w:r w:rsidR="007E18E5">
        <w:t xml:space="preserve">, but municipalities will have to review </w:t>
      </w:r>
      <w:r w:rsidR="00E20CC1">
        <w:t>the merits</w:t>
      </w:r>
      <w:r w:rsidR="007E18E5">
        <w:t xml:space="preserve"> of each potential pr</w:t>
      </w:r>
      <w:r w:rsidR="009A76DC">
        <w:t xml:space="preserve">oject on a </w:t>
      </w:r>
      <w:r w:rsidR="00E20CC1">
        <w:t>case-by-case</w:t>
      </w:r>
      <w:r w:rsidR="009A76DC">
        <w:t xml:space="preserve"> basis to inform prioritization</w:t>
      </w:r>
      <w:r w:rsidR="00D15B43">
        <w:t>.</w:t>
      </w:r>
    </w:p>
    <w:p w14:paraId="335808DB" w14:textId="751522CD" w:rsidR="00743CB7" w:rsidRDefault="00743CB7" w:rsidP="008B447E">
      <w:pPr>
        <w:spacing w:after="160" w:line="278" w:lineRule="auto"/>
      </w:pPr>
      <w:r>
        <w:rPr>
          <w:b/>
          <w:bCs/>
        </w:rPr>
        <w:t xml:space="preserve">CATEGORY 5: </w:t>
      </w:r>
      <w:r w:rsidR="00DE2A51">
        <w:rPr>
          <w:b/>
          <w:bCs/>
        </w:rPr>
        <w:t>RIDERSHIP STUDIES TO PRIORITIZE SUB-CORRIDOR DEVELOPMENT</w:t>
      </w:r>
    </w:p>
    <w:p w14:paraId="57E982FC" w14:textId="59852D42" w:rsidR="00DE2A51" w:rsidRDefault="00DE2A51" w:rsidP="008B447E">
      <w:pPr>
        <w:spacing w:after="160" w:line="278" w:lineRule="auto"/>
      </w:pPr>
      <w:r>
        <w:t xml:space="preserve">The Sanford to Franklinton corridor is long, with the shorter Apex to Wake Forest service concept embedded within </w:t>
      </w:r>
      <w:r w:rsidR="002B6A45">
        <w:t xml:space="preserve">the Sanford to Franklinton service concept. When dollars are limited, a ridership study to determine whether extending Apex to Wake Forest to Sanford or Franklinton first may help </w:t>
      </w:r>
      <w:proofErr w:type="gramStart"/>
      <w:r w:rsidR="002B6A45">
        <w:t>prioritization</w:t>
      </w:r>
      <w:proofErr w:type="gramEnd"/>
      <w:r w:rsidR="002B6A45">
        <w:t>. Such studies could also be used to compare the merits of new station</w:t>
      </w:r>
      <w:r w:rsidR="00D10C2F">
        <w:t>s and prioritize their introduction/construction according to ridership potential.</w:t>
      </w:r>
    </w:p>
    <w:p w14:paraId="448A2625" w14:textId="4FFCD719" w:rsidR="00D10C2F" w:rsidRPr="008E47C9" w:rsidRDefault="005464DF" w:rsidP="008B447E">
      <w:pPr>
        <w:spacing w:after="160" w:line="278" w:lineRule="auto"/>
        <w:rPr>
          <w:b/>
          <w:bCs/>
        </w:rPr>
      </w:pPr>
      <w:r w:rsidRPr="008E47C9">
        <w:rPr>
          <w:b/>
          <w:bCs/>
        </w:rPr>
        <w:t xml:space="preserve">CATEGORY 6: </w:t>
      </w:r>
      <w:r w:rsidR="00A35BCF" w:rsidRPr="008E47C9">
        <w:rPr>
          <w:b/>
          <w:bCs/>
        </w:rPr>
        <w:t xml:space="preserve">WHEN IN DOUBT, INVEST </w:t>
      </w:r>
      <w:r w:rsidR="007C7D94" w:rsidRPr="008E47C9">
        <w:rPr>
          <w:b/>
          <w:bCs/>
        </w:rPr>
        <w:t xml:space="preserve">IN </w:t>
      </w:r>
      <w:r w:rsidR="007C7D94">
        <w:rPr>
          <w:b/>
          <w:bCs/>
        </w:rPr>
        <w:t>NC</w:t>
      </w:r>
      <w:r w:rsidR="006B41C8">
        <w:rPr>
          <w:b/>
          <w:bCs/>
        </w:rPr>
        <w:t>-LINE</w:t>
      </w:r>
      <w:r w:rsidR="00A35BCF" w:rsidRPr="008E47C9">
        <w:rPr>
          <w:b/>
          <w:bCs/>
        </w:rPr>
        <w:t xml:space="preserve"> </w:t>
      </w:r>
      <w:r w:rsidR="00DD21A2">
        <w:rPr>
          <w:b/>
          <w:bCs/>
        </w:rPr>
        <w:t>CAPACITY</w:t>
      </w:r>
    </w:p>
    <w:p w14:paraId="47C0E91D" w14:textId="482431FF" w:rsidR="006B41C8" w:rsidRDefault="005503C7" w:rsidP="008B447E">
      <w:pPr>
        <w:spacing w:after="160" w:line="278" w:lineRule="auto"/>
      </w:pPr>
      <w:r>
        <w:t xml:space="preserve">Discussions within the technical steering group </w:t>
      </w:r>
      <w:r w:rsidR="0003362F">
        <w:t>during the project frequently reiterated the importance of the NC-line to the Triangle Region and the state. Three of the four Corridor ID grants that NCDOT Rail received</w:t>
      </w:r>
      <w:r w:rsidR="005E4EF0">
        <w:t xml:space="preserve"> (Charlotte to </w:t>
      </w:r>
      <w:r w:rsidR="00800126">
        <w:t>Washington, DC</w:t>
      </w:r>
      <w:r w:rsidR="005E4EF0">
        <w:t>; Winston-Salem to Raleigh; Wilmington to Raleigh) touch this corridor</w:t>
      </w:r>
      <w:r w:rsidR="00A57506">
        <w:t>, and the 8-mile stretch between Boylan (Raleigh) and Fetner (Cary) junction is</w:t>
      </w:r>
      <w:r w:rsidR="00210496">
        <w:t xml:space="preserve"> the one section of track that</w:t>
      </w:r>
      <w:r w:rsidR="00BB748D">
        <w:t xml:space="preserve"> most of the Service Concepts </w:t>
      </w:r>
      <w:r w:rsidR="00B54B08">
        <w:t xml:space="preserve">proposed </w:t>
      </w:r>
      <w:r w:rsidR="00BB748D">
        <w:t xml:space="preserve">in this study </w:t>
      </w:r>
      <w:r w:rsidR="00B54B08">
        <w:t xml:space="preserve">will </w:t>
      </w:r>
      <w:r w:rsidR="00BB748D">
        <w:t>use.</w:t>
      </w:r>
    </w:p>
    <w:p w14:paraId="7B4CAA4C" w14:textId="53F55781" w:rsidR="00BB748D" w:rsidRDefault="00D446A5" w:rsidP="008B447E">
      <w:pPr>
        <w:spacing w:after="160" w:line="278" w:lineRule="auto"/>
      </w:pPr>
      <w:r>
        <w:t>Investments</w:t>
      </w:r>
      <w:r w:rsidR="00453F54">
        <w:t xml:space="preserve"> that help create a double-track corridor from Mebane to Cary and from Raleigh to Clayton will do a lot to support freight and passenger expansion</w:t>
      </w:r>
      <w:r w:rsidR="00783CB2">
        <w:t xml:space="preserve"> by increasing </w:t>
      </w:r>
      <w:r w:rsidR="00953069">
        <w:t xml:space="preserve">service </w:t>
      </w:r>
      <w:r w:rsidR="00783CB2">
        <w:t>capacity</w:t>
      </w:r>
      <w:r w:rsidR="00953069">
        <w:t xml:space="preserve"> in these areas</w:t>
      </w:r>
      <w:r w:rsidR="00820031">
        <w:t xml:space="preserve">. </w:t>
      </w:r>
      <w:r w:rsidR="00AD65FA">
        <w:t>As regional rail services are built out, i</w:t>
      </w:r>
      <w:r w:rsidR="00820031">
        <w:t xml:space="preserve">t is possible that triple-tracking some parts of the Cary to Raleigh </w:t>
      </w:r>
      <w:r>
        <w:t>corridor segment</w:t>
      </w:r>
      <w:r w:rsidR="00820031">
        <w:t xml:space="preserve"> may also make sense in the </w:t>
      </w:r>
      <w:r>
        <w:t>long term</w:t>
      </w:r>
      <w:r w:rsidR="00820031">
        <w:t>.</w:t>
      </w:r>
    </w:p>
    <w:p w14:paraId="4C7DCC0D" w14:textId="1079369B" w:rsidR="00E12CAF" w:rsidRDefault="00E12CAF" w:rsidP="008B447E">
      <w:pPr>
        <w:spacing w:after="160" w:line="278" w:lineRule="auto"/>
      </w:pPr>
      <w:r>
        <w:t xml:space="preserve">Double-tracking sections of single-track rail that lead into Cary and Raleigh </w:t>
      </w:r>
      <w:r w:rsidR="006D34BB">
        <w:t>may provide greater benefits than triple-tracking Cary to Raleigh</w:t>
      </w:r>
      <w:r w:rsidR="00683FCD">
        <w:t xml:space="preserve"> </w:t>
      </w:r>
      <w:r w:rsidR="00474317">
        <w:t xml:space="preserve">as it </w:t>
      </w:r>
      <w:r w:rsidR="00683FCD">
        <w:t>is likely to yield more benefits within the horizon of CAMPO and TWTPOs next Metropolitan Transportation Plan (MTP).</w:t>
      </w:r>
    </w:p>
    <w:p w14:paraId="79BA2650" w14:textId="77777777" w:rsidR="006B41C8" w:rsidRDefault="006B41C8" w:rsidP="008B447E">
      <w:pPr>
        <w:spacing w:after="160" w:line="278" w:lineRule="auto"/>
      </w:pPr>
    </w:p>
    <w:p w14:paraId="6FD6ED54" w14:textId="77777777" w:rsidR="001C594A" w:rsidRDefault="001C594A">
      <w:pPr>
        <w:rPr>
          <w:b/>
          <w:bCs/>
        </w:rPr>
      </w:pPr>
      <w:r>
        <w:rPr>
          <w:b/>
          <w:bCs/>
        </w:rPr>
        <w:br w:type="page"/>
      </w:r>
    </w:p>
    <w:p w14:paraId="2BC4BC6A" w14:textId="35C55EE9" w:rsidR="007542B5" w:rsidRDefault="007542B5" w:rsidP="004532E8">
      <w:pPr>
        <w:rPr>
          <w:b/>
          <w:bCs/>
        </w:rPr>
      </w:pPr>
      <w:r>
        <w:rPr>
          <w:b/>
          <w:bCs/>
        </w:rPr>
        <w:lastRenderedPageBreak/>
        <w:t xml:space="preserve">GLOBAL CONSIDERATION: </w:t>
      </w:r>
      <w:r w:rsidR="00AD21E5">
        <w:rPr>
          <w:b/>
          <w:bCs/>
        </w:rPr>
        <w:t>2023 C</w:t>
      </w:r>
      <w:r>
        <w:rPr>
          <w:b/>
          <w:bCs/>
        </w:rPr>
        <w:t>ORRIDOR ID</w:t>
      </w:r>
      <w:r w:rsidR="00BC624D">
        <w:rPr>
          <w:b/>
          <w:bCs/>
        </w:rPr>
        <w:t xml:space="preserve"> ALIGNMENTS HAVE A HEAD START</w:t>
      </w:r>
    </w:p>
    <w:p w14:paraId="179E7C03" w14:textId="08D0D122" w:rsidR="00944705" w:rsidRDefault="00E61DCF" w:rsidP="00944705">
      <w:r w:rsidRPr="002925CC">
        <w:t>In 202</w:t>
      </w:r>
      <w:r w:rsidR="00AD21E5" w:rsidRPr="002925CC">
        <w:t>3</w:t>
      </w:r>
      <w:r w:rsidRPr="002925CC">
        <w:t xml:space="preserve">, </w:t>
      </w:r>
      <w:r w:rsidR="00F70278">
        <w:t xml:space="preserve">FRA awarded seven Corridor ID grants </w:t>
      </w:r>
      <w:r w:rsidR="00944705">
        <w:t>to NCDOT for passenger rail corridor development. Four of them touch the Triangle Region:</w:t>
      </w:r>
    </w:p>
    <w:p w14:paraId="456B2F25" w14:textId="77777777" w:rsidR="00944705" w:rsidRDefault="00944705" w:rsidP="00944705">
      <w:pPr>
        <w:pStyle w:val="ListParagraph"/>
        <w:numPr>
          <w:ilvl w:val="0"/>
          <w:numId w:val="12"/>
        </w:numPr>
      </w:pPr>
      <w:r>
        <w:t>Charlotte to Washington, D.C.</w:t>
      </w:r>
    </w:p>
    <w:p w14:paraId="072DCE27" w14:textId="77777777" w:rsidR="00944705" w:rsidRDefault="00944705" w:rsidP="00944705">
      <w:pPr>
        <w:pStyle w:val="ListParagraph"/>
        <w:numPr>
          <w:ilvl w:val="0"/>
          <w:numId w:val="12"/>
        </w:numPr>
      </w:pPr>
      <w:r>
        <w:t>Fayetteville to Raleigh</w:t>
      </w:r>
    </w:p>
    <w:p w14:paraId="1211F2FB" w14:textId="77777777" w:rsidR="00944705" w:rsidRDefault="00944705" w:rsidP="00944705">
      <w:pPr>
        <w:pStyle w:val="ListParagraph"/>
        <w:numPr>
          <w:ilvl w:val="0"/>
          <w:numId w:val="12"/>
        </w:numPr>
      </w:pPr>
      <w:r>
        <w:t>Wilmington to Raleigh</w:t>
      </w:r>
    </w:p>
    <w:p w14:paraId="62989C61" w14:textId="44DA9EFC" w:rsidR="007542B5" w:rsidRPr="002925CC" w:rsidRDefault="00944705" w:rsidP="00944705">
      <w:pPr>
        <w:pStyle w:val="ListParagraph"/>
        <w:numPr>
          <w:ilvl w:val="0"/>
          <w:numId w:val="12"/>
        </w:numPr>
      </w:pPr>
      <w:r>
        <w:t>Winston-Salem to Raleigh</w:t>
      </w:r>
    </w:p>
    <w:p w14:paraId="65750CB5" w14:textId="10885605" w:rsidR="004532E8" w:rsidRDefault="001C594A" w:rsidP="004532E8">
      <w:pPr>
        <w:rPr>
          <w:b/>
          <w:bCs/>
        </w:rPr>
      </w:pPr>
      <w:r w:rsidRPr="002925CC">
        <w:t xml:space="preserve">By virtue of having been </w:t>
      </w:r>
      <w:r w:rsidR="00944705">
        <w:t xml:space="preserve">selected in this process, the rail lines within these corridors are at least two years or more ahead of corridors that have not been </w:t>
      </w:r>
      <w:r w:rsidR="00265F91">
        <w:t xml:space="preserve">selected in the Corridor ID process. </w:t>
      </w:r>
      <w:r w:rsidR="00D446A5" w:rsidRPr="00D446A5">
        <w:t xml:space="preserve">If there is interest in expanding or improving passenger rail services on an alignment, and that alignment has not been recognized by FRA’s Corridor ID program, a logical next step for Triangle Region stakeholders would be to apply the corridor into the Corridor ID </w:t>
      </w:r>
      <w:proofErr w:type="spellStart"/>
      <w:proofErr w:type="gramStart"/>
      <w:r w:rsidR="00D446A5" w:rsidRPr="00D446A5">
        <w:t>program.</w:t>
      </w:r>
      <w:r w:rsidR="009554CE">
        <w:rPr>
          <w:b/>
          <w:bCs/>
        </w:rPr>
        <w:t>GLOBAL</w:t>
      </w:r>
      <w:proofErr w:type="spellEnd"/>
      <w:proofErr w:type="gramEnd"/>
      <w:r w:rsidR="009554CE">
        <w:rPr>
          <w:b/>
          <w:bCs/>
        </w:rPr>
        <w:t xml:space="preserve"> CONSIDERATION: OWNERSHIP AND OPERATING COSTS</w:t>
      </w:r>
    </w:p>
    <w:p w14:paraId="24371EEA" w14:textId="4947CD38" w:rsidR="007475FF" w:rsidRDefault="009554CE" w:rsidP="009554CE">
      <w:r>
        <w:t>The railroad environment may have multiple stakeholders and investment partners that participate</w:t>
      </w:r>
      <w:r w:rsidR="00AA1BEF">
        <w:t xml:space="preserve"> individually or collaboratively to fund and build capital projects like a new interlocking or grade separation. </w:t>
      </w:r>
    </w:p>
    <w:p w14:paraId="0C9EB249" w14:textId="641C959D" w:rsidR="00AA1BEF" w:rsidRDefault="00AA1BEF" w:rsidP="009554CE">
      <w:r>
        <w:t xml:space="preserve">Once built, some </w:t>
      </w:r>
      <w:proofErr w:type="gramStart"/>
      <w:r>
        <w:t>entity</w:t>
      </w:r>
      <w:proofErr w:type="gramEnd"/>
      <w:r w:rsidR="00871E18">
        <w:t>, usually a freight railroad,</w:t>
      </w:r>
      <w:r>
        <w:t xml:space="preserve"> will need to accept maintenance responsibility for the capital improvement. </w:t>
      </w:r>
      <w:proofErr w:type="gramStart"/>
      <w:r>
        <w:t>Esta</w:t>
      </w:r>
      <w:r w:rsidR="00CC6AC9">
        <w:t>blishing that</w:t>
      </w:r>
      <w:proofErr w:type="gramEnd"/>
      <w:r w:rsidR="00CC6AC9">
        <w:t xml:space="preserve"> a project can be maintained after </w:t>
      </w:r>
      <w:r w:rsidR="009C5F2A">
        <w:t>construction and</w:t>
      </w:r>
      <w:r w:rsidR="00CC6AC9">
        <w:t xml:space="preserve"> identifying the financial revenue stream to pay for that maintenance - is a critical component of any standalone project being advanced.</w:t>
      </w:r>
    </w:p>
    <w:p w14:paraId="01E0578C" w14:textId="3C67B58F" w:rsidR="00AC2ADF" w:rsidRDefault="005215CA" w:rsidP="009554CE">
      <w:pPr>
        <w:rPr>
          <w:b/>
          <w:bCs/>
        </w:rPr>
      </w:pPr>
      <w:r>
        <w:rPr>
          <w:b/>
          <w:bCs/>
        </w:rPr>
        <w:t xml:space="preserve">GLOBAL CONSIDERATION: </w:t>
      </w:r>
      <w:r w:rsidR="00BA53C5">
        <w:rPr>
          <w:b/>
          <w:bCs/>
        </w:rPr>
        <w:t>DELIVER FULLY EQUIPPED CORRIDORS, DON’T SEPARATE TRACK AND SIGNALLING IMPROVEMENTS IF POSSIBLE</w:t>
      </w:r>
    </w:p>
    <w:p w14:paraId="1CBAC2A0" w14:textId="687BA627" w:rsidR="00E874A1" w:rsidRPr="00B77347" w:rsidRDefault="00E874A1" w:rsidP="00E874A1">
      <w:pPr>
        <w:spacing w:after="160" w:line="278" w:lineRule="auto"/>
      </w:pPr>
      <w:r w:rsidRPr="00B77347">
        <w:t xml:space="preserve">It </w:t>
      </w:r>
      <w:r>
        <w:t>is inefficient</w:t>
      </w:r>
      <w:r w:rsidRPr="00B77347">
        <w:t xml:space="preserve"> </w:t>
      </w:r>
      <w:r>
        <w:t xml:space="preserve">to invest in </w:t>
      </w:r>
      <w:r w:rsidRPr="00B77347">
        <w:t xml:space="preserve">track improvements or signal improvements </w:t>
      </w:r>
      <w:r w:rsidR="00D866CB">
        <w:t>as standalone investments over long distances</w:t>
      </w:r>
      <w:r w:rsidRPr="00B77347">
        <w:t xml:space="preserve">. It's better to </w:t>
      </w:r>
      <w:r w:rsidR="00D866CB">
        <w:t>invest in a shorter</w:t>
      </w:r>
      <w:r w:rsidRPr="00B77347">
        <w:t xml:space="preserve"> stretch and do BOTH track and signal improvements in </w:t>
      </w:r>
      <w:proofErr w:type="gramStart"/>
      <w:r w:rsidRPr="00B77347">
        <w:t>a length</w:t>
      </w:r>
      <w:proofErr w:type="gramEnd"/>
      <w:r w:rsidRPr="00B77347">
        <w:t xml:space="preserve"> of track that matches funding capacity.</w:t>
      </w:r>
      <w:r w:rsidR="00D866CB">
        <w:t xml:space="preserve"> This </w:t>
      </w:r>
      <w:r w:rsidR="00457E03">
        <w:t>approach is one of the reasons why the S-Line project is a fully operating railroad from Raleigh to Wake Forest, and not a track-only project from Raleigh to the Virginia state line.</w:t>
      </w:r>
    </w:p>
    <w:p w14:paraId="1ABEE5B1" w14:textId="77777777" w:rsidR="00E874A1" w:rsidRPr="005215CA" w:rsidRDefault="00E874A1" w:rsidP="009554CE">
      <w:pPr>
        <w:rPr>
          <w:b/>
          <w:bCs/>
        </w:rPr>
      </w:pPr>
    </w:p>
    <w:sectPr w:rsidR="00E874A1" w:rsidRPr="005215CA" w:rsidSect="007475FF">
      <w:headerReference w:type="default" r:id="rId10"/>
      <w:footerReference w:type="default" r:id="rId11"/>
      <w:pgSz w:w="12240" w:h="15840"/>
      <w:pgMar w:top="1440" w:right="1080" w:bottom="144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2C04" w14:textId="77777777" w:rsidR="008308BE" w:rsidRDefault="008308BE" w:rsidP="00D40B8A">
      <w:pPr>
        <w:spacing w:after="0" w:line="240" w:lineRule="auto"/>
      </w:pPr>
      <w:r>
        <w:separator/>
      </w:r>
    </w:p>
  </w:endnote>
  <w:endnote w:type="continuationSeparator" w:id="0">
    <w:p w14:paraId="4617DC49" w14:textId="77777777" w:rsidR="008308BE" w:rsidRDefault="008308BE" w:rsidP="00D4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27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6DDE2" w14:textId="79A30766" w:rsidR="00265271" w:rsidRDefault="002652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84124" w14:textId="32633388" w:rsidR="3E7A8149" w:rsidRDefault="3E7A8149" w:rsidP="0087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12FD" w14:textId="77777777" w:rsidR="008308BE" w:rsidRDefault="008308BE" w:rsidP="00D40B8A">
      <w:pPr>
        <w:spacing w:after="0" w:line="240" w:lineRule="auto"/>
      </w:pPr>
      <w:r>
        <w:separator/>
      </w:r>
    </w:p>
  </w:footnote>
  <w:footnote w:type="continuationSeparator" w:id="0">
    <w:p w14:paraId="5813DC01" w14:textId="77777777" w:rsidR="008308BE" w:rsidRDefault="008308BE" w:rsidP="00D4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DRFormTable"/>
      <w:tblW w:w="9216" w:type="dxa"/>
      <w:jc w:val="right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208"/>
      <w:gridCol w:w="1008"/>
    </w:tblGrid>
    <w:tr w:rsidR="00D40B8A" w:rsidRPr="00765289" w14:paraId="785C71A1" w14:textId="77777777" w:rsidTr="00D10CE9">
      <w:trPr>
        <w:jc w:val="right"/>
      </w:trPr>
      <w:tc>
        <w:tcPr>
          <w:tcW w:w="8208" w:type="dxa"/>
        </w:tcPr>
        <w:p w14:paraId="1E9E3130" w14:textId="33984960" w:rsidR="00D40B8A" w:rsidRPr="00B21726" w:rsidRDefault="00265271" w:rsidP="00D10CE9">
          <w:pPr>
            <w:pStyle w:val="HDRHeader"/>
            <w:jc w:val="right"/>
          </w:pPr>
          <w:sdt>
            <w:sdtPr>
              <w:rPr>
                <w:rStyle w:val="Strong"/>
              </w:rPr>
              <w:alias w:val="Client"/>
              <w:tag w:val="Client"/>
              <w:id w:val="330409926"/>
            </w:sdtPr>
            <w:sdtEndPr>
              <w:rPr>
                <w:rStyle w:val="Strong"/>
              </w:rPr>
            </w:sdtEndPr>
            <w:sdtContent>
              <w:r w:rsidR="00D40B8A">
                <w:rPr>
                  <w:rStyle w:val="Strong"/>
                </w:rPr>
                <w:t>CAMPO &amp; DCHC-MPO</w:t>
              </w:r>
            </w:sdtContent>
          </w:sdt>
          <w:r w:rsidR="00D40B8A" w:rsidRPr="00B21726">
            <w:t xml:space="preserve"> | </w:t>
          </w:r>
          <w:sdt>
            <w:sdtPr>
              <w:id w:val="-989392954"/>
            </w:sdtPr>
            <w:sdtEndPr/>
            <w:sdtContent>
              <w:r w:rsidR="00D40B8A">
                <w:t>Triangle Rail Study</w:t>
              </w:r>
            </w:sdtContent>
          </w:sdt>
        </w:p>
        <w:p w14:paraId="35D1B343" w14:textId="195BC3FB" w:rsidR="00D40B8A" w:rsidRPr="007C49EF" w:rsidRDefault="00D40B8A" w:rsidP="00D10CE9">
          <w:pPr>
            <w:pStyle w:val="HDRHeader"/>
            <w:jc w:val="right"/>
          </w:pPr>
          <w:r>
            <w:fldChar w:fldCharType="begin"/>
          </w:r>
          <w:r>
            <w:instrText xml:space="preserve"> IF </w:instrText>
          </w:r>
          <w:fldSimple w:instr="STYLEREF  &quot;Heading 1&quot;  \* MERGEFORMAT">
            <w:r w:rsidR="00265271">
              <w:instrText>Local Funding Prioritization Decision Tree</w:instrText>
            </w:r>
          </w:fldSimple>
          <w:r>
            <w:instrText xml:space="preserve"> = </w:instrText>
          </w:r>
          <w:r>
            <w:rPr>
              <w:rFonts w:cstheme="minorHAnsi"/>
            </w:rPr>
            <w:instrText>"</w:instrText>
          </w:r>
          <w:r>
            <w:instrText>Error! No text of specified style in document.</w:instrText>
          </w:r>
          <w:r>
            <w:rPr>
              <w:rFonts w:cstheme="minorHAnsi"/>
            </w:rPr>
            <w:instrText>"</w:instrText>
          </w:r>
          <w:r>
            <w:instrText xml:space="preserve"> </w:instrText>
          </w:r>
          <w:r>
            <w:rPr>
              <w:rFonts w:cstheme="minorHAnsi"/>
            </w:rPr>
            <w:instrText>"</w:instrText>
          </w:r>
          <w:r>
            <w:instrText>Please use Heading 1 in document to update header content</w:instrText>
          </w:r>
          <w:r>
            <w:rPr>
              <w:rFonts w:cstheme="minorHAnsi"/>
            </w:rPr>
            <w:instrText>"</w:instrText>
          </w:r>
          <w:r>
            <w:instrText xml:space="preserve"> </w:instrText>
          </w:r>
          <w:fldSimple w:instr="STYLEREF  &quot;Heading 1&quot;  \* MERGEFORMAT">
            <w:r w:rsidR="00265271">
              <w:instrText>Local Funding Prioritization Decision Tree</w:instrText>
            </w:r>
          </w:fldSimple>
          <w:r>
            <w:instrText xml:space="preserve"> </w:instrText>
          </w:r>
          <w:r>
            <w:fldChar w:fldCharType="separate"/>
          </w:r>
          <w:r w:rsidR="00265271">
            <w:t>Local Funding Prioritization Decision Tree</w:t>
          </w:r>
          <w:r>
            <w:fldChar w:fldCharType="end"/>
          </w:r>
        </w:p>
      </w:tc>
      <w:tc>
        <w:tcPr>
          <w:tcW w:w="1008" w:type="dxa"/>
        </w:tcPr>
        <w:p w14:paraId="48D6ED5A" w14:textId="77777777" w:rsidR="00D40B8A" w:rsidRPr="00765289" w:rsidRDefault="00D40B8A" w:rsidP="008E3FF8">
          <w:pPr>
            <w:pStyle w:val="Header"/>
            <w:jc w:val="right"/>
            <w:rPr>
              <w:szCs w:val="16"/>
            </w:rPr>
          </w:pPr>
          <w:r w:rsidRPr="00765289">
            <w:rPr>
              <w:noProof/>
              <w:szCs w:val="16"/>
              <w:lang w:eastAsia="zh-CN"/>
            </w:rPr>
            <w:drawing>
              <wp:inline distT="0" distB="0" distL="0" distR="0" wp14:anchorId="0D8028D3" wp14:editId="08AAD988">
                <wp:extent cx="433909" cy="266131"/>
                <wp:effectExtent l="0" t="0" r="4445" b="635"/>
                <wp:docPr id="60" name="Pictur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DR_Logo_K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415" cy="266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DCFEE1" w14:textId="77777777" w:rsidR="00D40B8A" w:rsidRDefault="00D40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302B"/>
    <w:multiLevelType w:val="hybridMultilevel"/>
    <w:tmpl w:val="4F70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9A2"/>
    <w:multiLevelType w:val="hybridMultilevel"/>
    <w:tmpl w:val="24C6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420"/>
    <w:multiLevelType w:val="hybridMultilevel"/>
    <w:tmpl w:val="4AF4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D5CB7"/>
    <w:multiLevelType w:val="multilevel"/>
    <w:tmpl w:val="4078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D1A5A"/>
    <w:multiLevelType w:val="multilevel"/>
    <w:tmpl w:val="50BCD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0918C3"/>
    <w:multiLevelType w:val="hybridMultilevel"/>
    <w:tmpl w:val="6210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F3EF9"/>
    <w:multiLevelType w:val="hybridMultilevel"/>
    <w:tmpl w:val="14BC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A08E8"/>
    <w:multiLevelType w:val="hybridMultilevel"/>
    <w:tmpl w:val="D3CA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50A6F"/>
    <w:multiLevelType w:val="hybridMultilevel"/>
    <w:tmpl w:val="F54E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86ED4"/>
    <w:multiLevelType w:val="hybridMultilevel"/>
    <w:tmpl w:val="1E18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02099"/>
    <w:multiLevelType w:val="hybridMultilevel"/>
    <w:tmpl w:val="AEB8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43734"/>
    <w:multiLevelType w:val="hybridMultilevel"/>
    <w:tmpl w:val="25E4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648525">
    <w:abstractNumId w:val="6"/>
  </w:num>
  <w:num w:numId="2" w16cid:durableId="988172241">
    <w:abstractNumId w:val="5"/>
  </w:num>
  <w:num w:numId="3" w16cid:durableId="407272088">
    <w:abstractNumId w:val="9"/>
  </w:num>
  <w:num w:numId="4" w16cid:durableId="713382517">
    <w:abstractNumId w:val="10"/>
  </w:num>
  <w:num w:numId="5" w16cid:durableId="1655183551">
    <w:abstractNumId w:val="1"/>
  </w:num>
  <w:num w:numId="6" w16cid:durableId="834616463">
    <w:abstractNumId w:val="8"/>
  </w:num>
  <w:num w:numId="7" w16cid:durableId="1868638957">
    <w:abstractNumId w:val="2"/>
  </w:num>
  <w:num w:numId="8" w16cid:durableId="1828323550">
    <w:abstractNumId w:val="11"/>
  </w:num>
  <w:num w:numId="9" w16cid:durableId="1855654531">
    <w:abstractNumId w:val="7"/>
  </w:num>
  <w:num w:numId="10" w16cid:durableId="1797023794">
    <w:abstractNumId w:val="0"/>
  </w:num>
  <w:num w:numId="11" w16cid:durableId="697899967">
    <w:abstractNumId w:val="4"/>
  </w:num>
  <w:num w:numId="12" w16cid:durableId="148466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xsjA2NDUwMze1MDNX0lEKTi0uzszPAykwrgUAMpfxlywAAAA="/>
  </w:docVars>
  <w:rsids>
    <w:rsidRoot w:val="00D95BF6"/>
    <w:rsid w:val="0000756B"/>
    <w:rsid w:val="0003362F"/>
    <w:rsid w:val="00047978"/>
    <w:rsid w:val="0007420A"/>
    <w:rsid w:val="00074C6D"/>
    <w:rsid w:val="0008192E"/>
    <w:rsid w:val="000B15E3"/>
    <w:rsid w:val="000B711F"/>
    <w:rsid w:val="000D3286"/>
    <w:rsid w:val="000F61D2"/>
    <w:rsid w:val="00100E5A"/>
    <w:rsid w:val="001075EB"/>
    <w:rsid w:val="001126FF"/>
    <w:rsid w:val="00115F43"/>
    <w:rsid w:val="00117804"/>
    <w:rsid w:val="00160E71"/>
    <w:rsid w:val="00162A24"/>
    <w:rsid w:val="00176ED0"/>
    <w:rsid w:val="001A4236"/>
    <w:rsid w:val="001C594A"/>
    <w:rsid w:val="001F0247"/>
    <w:rsid w:val="001F2F0F"/>
    <w:rsid w:val="001F48EF"/>
    <w:rsid w:val="00201CF3"/>
    <w:rsid w:val="00210496"/>
    <w:rsid w:val="00221892"/>
    <w:rsid w:val="002258D0"/>
    <w:rsid w:val="0023006C"/>
    <w:rsid w:val="00235EC9"/>
    <w:rsid w:val="00242634"/>
    <w:rsid w:val="00243437"/>
    <w:rsid w:val="002435E9"/>
    <w:rsid w:val="00246EF6"/>
    <w:rsid w:val="00257EAF"/>
    <w:rsid w:val="0026088C"/>
    <w:rsid w:val="00262F68"/>
    <w:rsid w:val="00265271"/>
    <w:rsid w:val="00265F91"/>
    <w:rsid w:val="002833AD"/>
    <w:rsid w:val="002925CC"/>
    <w:rsid w:val="002A24C4"/>
    <w:rsid w:val="002B08E5"/>
    <w:rsid w:val="002B6A45"/>
    <w:rsid w:val="002D0CC7"/>
    <w:rsid w:val="002F44F6"/>
    <w:rsid w:val="003065AE"/>
    <w:rsid w:val="0032501B"/>
    <w:rsid w:val="003562E1"/>
    <w:rsid w:val="003608D4"/>
    <w:rsid w:val="00373999"/>
    <w:rsid w:val="00374B0A"/>
    <w:rsid w:val="00383C2F"/>
    <w:rsid w:val="00384355"/>
    <w:rsid w:val="00391DA6"/>
    <w:rsid w:val="003A22D4"/>
    <w:rsid w:val="003C3657"/>
    <w:rsid w:val="003C3784"/>
    <w:rsid w:val="003C56F8"/>
    <w:rsid w:val="003E0C3E"/>
    <w:rsid w:val="004024F8"/>
    <w:rsid w:val="00406A58"/>
    <w:rsid w:val="00415B06"/>
    <w:rsid w:val="004201F1"/>
    <w:rsid w:val="00426B60"/>
    <w:rsid w:val="0043270F"/>
    <w:rsid w:val="004360B5"/>
    <w:rsid w:val="00440A53"/>
    <w:rsid w:val="004532E8"/>
    <w:rsid w:val="00453F54"/>
    <w:rsid w:val="00457E03"/>
    <w:rsid w:val="00463CEC"/>
    <w:rsid w:val="00473D81"/>
    <w:rsid w:val="00474317"/>
    <w:rsid w:val="00474389"/>
    <w:rsid w:val="00487244"/>
    <w:rsid w:val="00493CC4"/>
    <w:rsid w:val="004C1503"/>
    <w:rsid w:val="004D6946"/>
    <w:rsid w:val="004D6DF2"/>
    <w:rsid w:val="004D7EDA"/>
    <w:rsid w:val="005202CD"/>
    <w:rsid w:val="005215CA"/>
    <w:rsid w:val="00522DEB"/>
    <w:rsid w:val="00527392"/>
    <w:rsid w:val="00533EF0"/>
    <w:rsid w:val="00534048"/>
    <w:rsid w:val="005464DF"/>
    <w:rsid w:val="005503C7"/>
    <w:rsid w:val="00550A2B"/>
    <w:rsid w:val="00551C30"/>
    <w:rsid w:val="0058674F"/>
    <w:rsid w:val="00591427"/>
    <w:rsid w:val="00594F84"/>
    <w:rsid w:val="005D2946"/>
    <w:rsid w:val="005E3F51"/>
    <w:rsid w:val="005E440D"/>
    <w:rsid w:val="005E4EF0"/>
    <w:rsid w:val="005F5DEC"/>
    <w:rsid w:val="00604EFD"/>
    <w:rsid w:val="00633F19"/>
    <w:rsid w:val="00635191"/>
    <w:rsid w:val="00653082"/>
    <w:rsid w:val="00662ECA"/>
    <w:rsid w:val="00664A54"/>
    <w:rsid w:val="00666419"/>
    <w:rsid w:val="00666C4E"/>
    <w:rsid w:val="0067475E"/>
    <w:rsid w:val="00676B54"/>
    <w:rsid w:val="00683FCD"/>
    <w:rsid w:val="006B41C8"/>
    <w:rsid w:val="006B4556"/>
    <w:rsid w:val="006B7415"/>
    <w:rsid w:val="006C5DEC"/>
    <w:rsid w:val="006D0A31"/>
    <w:rsid w:val="006D1D05"/>
    <w:rsid w:val="006D34BB"/>
    <w:rsid w:val="006D5AF4"/>
    <w:rsid w:val="006E6796"/>
    <w:rsid w:val="006F66AE"/>
    <w:rsid w:val="007045A0"/>
    <w:rsid w:val="007234C7"/>
    <w:rsid w:val="0072432E"/>
    <w:rsid w:val="0073396F"/>
    <w:rsid w:val="00733D89"/>
    <w:rsid w:val="00740721"/>
    <w:rsid w:val="00743CB7"/>
    <w:rsid w:val="007475FF"/>
    <w:rsid w:val="007542B5"/>
    <w:rsid w:val="00755DE5"/>
    <w:rsid w:val="007614BA"/>
    <w:rsid w:val="00774317"/>
    <w:rsid w:val="00783CB2"/>
    <w:rsid w:val="007A41C6"/>
    <w:rsid w:val="007B3C27"/>
    <w:rsid w:val="007B6879"/>
    <w:rsid w:val="007C32F5"/>
    <w:rsid w:val="007C7D94"/>
    <w:rsid w:val="007D5C26"/>
    <w:rsid w:val="007E18E5"/>
    <w:rsid w:val="007E2A17"/>
    <w:rsid w:val="007F1275"/>
    <w:rsid w:val="007F6546"/>
    <w:rsid w:val="00800126"/>
    <w:rsid w:val="008019DD"/>
    <w:rsid w:val="00820031"/>
    <w:rsid w:val="008202ED"/>
    <w:rsid w:val="00827025"/>
    <w:rsid w:val="008308BE"/>
    <w:rsid w:val="008314D8"/>
    <w:rsid w:val="00831D48"/>
    <w:rsid w:val="008356ED"/>
    <w:rsid w:val="0084450E"/>
    <w:rsid w:val="008468E0"/>
    <w:rsid w:val="00847059"/>
    <w:rsid w:val="00847E6E"/>
    <w:rsid w:val="0086791F"/>
    <w:rsid w:val="00871E18"/>
    <w:rsid w:val="00880C43"/>
    <w:rsid w:val="00881AA8"/>
    <w:rsid w:val="00884625"/>
    <w:rsid w:val="0089530F"/>
    <w:rsid w:val="008B225D"/>
    <w:rsid w:val="008B447E"/>
    <w:rsid w:val="008B5741"/>
    <w:rsid w:val="008D6E2B"/>
    <w:rsid w:val="008E47C9"/>
    <w:rsid w:val="008E5AE2"/>
    <w:rsid w:val="00903757"/>
    <w:rsid w:val="009044BE"/>
    <w:rsid w:val="00915346"/>
    <w:rsid w:val="009277B1"/>
    <w:rsid w:val="00944705"/>
    <w:rsid w:val="00953069"/>
    <w:rsid w:val="009554CE"/>
    <w:rsid w:val="00960381"/>
    <w:rsid w:val="00970502"/>
    <w:rsid w:val="00973DAD"/>
    <w:rsid w:val="009766CA"/>
    <w:rsid w:val="00981E91"/>
    <w:rsid w:val="009A76DC"/>
    <w:rsid w:val="009B4388"/>
    <w:rsid w:val="009C5F2A"/>
    <w:rsid w:val="009D3CEC"/>
    <w:rsid w:val="009D492A"/>
    <w:rsid w:val="009D4A1F"/>
    <w:rsid w:val="009D5ABE"/>
    <w:rsid w:val="009E4C71"/>
    <w:rsid w:val="00A04A97"/>
    <w:rsid w:val="00A1134E"/>
    <w:rsid w:val="00A14BDC"/>
    <w:rsid w:val="00A23F60"/>
    <w:rsid w:val="00A35BCF"/>
    <w:rsid w:val="00A53E33"/>
    <w:rsid w:val="00A57506"/>
    <w:rsid w:val="00A64617"/>
    <w:rsid w:val="00A67D9D"/>
    <w:rsid w:val="00A77667"/>
    <w:rsid w:val="00A81089"/>
    <w:rsid w:val="00A82C59"/>
    <w:rsid w:val="00A86C90"/>
    <w:rsid w:val="00AA1BEF"/>
    <w:rsid w:val="00AB2239"/>
    <w:rsid w:val="00AC0565"/>
    <w:rsid w:val="00AC2ADF"/>
    <w:rsid w:val="00AD064A"/>
    <w:rsid w:val="00AD21E5"/>
    <w:rsid w:val="00AD65FA"/>
    <w:rsid w:val="00AD76F6"/>
    <w:rsid w:val="00AE7705"/>
    <w:rsid w:val="00AF63A0"/>
    <w:rsid w:val="00B023F6"/>
    <w:rsid w:val="00B110B8"/>
    <w:rsid w:val="00B16ADC"/>
    <w:rsid w:val="00B17793"/>
    <w:rsid w:val="00B207DA"/>
    <w:rsid w:val="00B2352C"/>
    <w:rsid w:val="00B3396B"/>
    <w:rsid w:val="00B54B08"/>
    <w:rsid w:val="00B871F0"/>
    <w:rsid w:val="00B97665"/>
    <w:rsid w:val="00BA53C5"/>
    <w:rsid w:val="00BB0EB9"/>
    <w:rsid w:val="00BB2DAB"/>
    <w:rsid w:val="00BB748D"/>
    <w:rsid w:val="00BC0E87"/>
    <w:rsid w:val="00BC624D"/>
    <w:rsid w:val="00BD4522"/>
    <w:rsid w:val="00BF67E5"/>
    <w:rsid w:val="00BF7208"/>
    <w:rsid w:val="00BF76BC"/>
    <w:rsid w:val="00C04CB3"/>
    <w:rsid w:val="00C17FE0"/>
    <w:rsid w:val="00C346F3"/>
    <w:rsid w:val="00C356E8"/>
    <w:rsid w:val="00C44534"/>
    <w:rsid w:val="00C452CC"/>
    <w:rsid w:val="00C46AF5"/>
    <w:rsid w:val="00C46C6E"/>
    <w:rsid w:val="00C4747E"/>
    <w:rsid w:val="00C624A3"/>
    <w:rsid w:val="00C72B9E"/>
    <w:rsid w:val="00C86531"/>
    <w:rsid w:val="00C901EB"/>
    <w:rsid w:val="00C959E7"/>
    <w:rsid w:val="00CC6AC9"/>
    <w:rsid w:val="00CF0502"/>
    <w:rsid w:val="00D0661E"/>
    <w:rsid w:val="00D10C2F"/>
    <w:rsid w:val="00D15B43"/>
    <w:rsid w:val="00D25757"/>
    <w:rsid w:val="00D40B8A"/>
    <w:rsid w:val="00D43F3B"/>
    <w:rsid w:val="00D44137"/>
    <w:rsid w:val="00D446A5"/>
    <w:rsid w:val="00D66AC5"/>
    <w:rsid w:val="00D83E19"/>
    <w:rsid w:val="00D866CB"/>
    <w:rsid w:val="00D86B7C"/>
    <w:rsid w:val="00D92748"/>
    <w:rsid w:val="00D95BF6"/>
    <w:rsid w:val="00DA4981"/>
    <w:rsid w:val="00DC0A3D"/>
    <w:rsid w:val="00DD21A2"/>
    <w:rsid w:val="00DE2A51"/>
    <w:rsid w:val="00DE2FE2"/>
    <w:rsid w:val="00E0404E"/>
    <w:rsid w:val="00E12CAF"/>
    <w:rsid w:val="00E20CC1"/>
    <w:rsid w:val="00E25404"/>
    <w:rsid w:val="00E37044"/>
    <w:rsid w:val="00E61DCF"/>
    <w:rsid w:val="00E62B93"/>
    <w:rsid w:val="00E82B82"/>
    <w:rsid w:val="00E837C1"/>
    <w:rsid w:val="00E874A1"/>
    <w:rsid w:val="00E93947"/>
    <w:rsid w:val="00EB22E3"/>
    <w:rsid w:val="00EB593B"/>
    <w:rsid w:val="00EC4E29"/>
    <w:rsid w:val="00ED5AFC"/>
    <w:rsid w:val="00EE04FB"/>
    <w:rsid w:val="00EF74A7"/>
    <w:rsid w:val="00F03968"/>
    <w:rsid w:val="00F06078"/>
    <w:rsid w:val="00F2152C"/>
    <w:rsid w:val="00F23AB0"/>
    <w:rsid w:val="00F44163"/>
    <w:rsid w:val="00F56F79"/>
    <w:rsid w:val="00F65BE1"/>
    <w:rsid w:val="00F70278"/>
    <w:rsid w:val="00F922A9"/>
    <w:rsid w:val="00F95C44"/>
    <w:rsid w:val="00F97BC3"/>
    <w:rsid w:val="00FA2EE2"/>
    <w:rsid w:val="00FC483A"/>
    <w:rsid w:val="00FC4E33"/>
    <w:rsid w:val="00FD2088"/>
    <w:rsid w:val="00FD2213"/>
    <w:rsid w:val="00FD6791"/>
    <w:rsid w:val="00FE6A7C"/>
    <w:rsid w:val="16393F53"/>
    <w:rsid w:val="3E7A8149"/>
    <w:rsid w:val="5DBD1805"/>
    <w:rsid w:val="75A6C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7174"/>
  <w15:chartTrackingRefBased/>
  <w15:docId w15:val="{6494F1E5-500A-463B-8A26-2AB410FD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8A"/>
  </w:style>
  <w:style w:type="paragraph" w:styleId="Heading1">
    <w:name w:val="heading 1"/>
    <w:basedOn w:val="Normal"/>
    <w:next w:val="Normal"/>
    <w:link w:val="Heading1Char"/>
    <w:uiPriority w:val="9"/>
    <w:qFormat/>
    <w:rsid w:val="00D40B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0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5564D" w:themeColor="background2" w:themeShade="80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0B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D40B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5564D" w:themeColor="background2" w:themeShade="80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40B8A"/>
    <w:pPr>
      <w:keepLines/>
      <w:spacing w:before="200" w:after="0"/>
      <w:outlineLvl w:val="4"/>
    </w:pPr>
    <w:rPr>
      <w:rFonts w:asciiTheme="majorHAnsi" w:eastAsiaTheme="majorEastAsia" w:hAnsiTheme="majorHAnsi" w:cstheme="majorBidi"/>
      <w:b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D40B8A"/>
    <w:pPr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8A99E" w:themeColor="background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95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95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qFormat/>
    <w:rsid w:val="00D40B8A"/>
    <w:pPr>
      <w:spacing w:after="0"/>
      <w:outlineLvl w:val="8"/>
    </w:pPr>
    <w:rPr>
      <w:b/>
      <w:i/>
      <w:color w:val="A8A99E" w:themeColor="background2"/>
      <w:sz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B8A"/>
    <w:rPr>
      <w:rFonts w:asciiTheme="majorHAnsi" w:eastAsiaTheme="majorEastAsia" w:hAnsiTheme="majorHAnsi" w:cstheme="majorBidi"/>
      <w:bCs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0B8A"/>
    <w:rPr>
      <w:rFonts w:asciiTheme="majorHAnsi" w:eastAsiaTheme="majorEastAsia" w:hAnsiTheme="majorHAnsi" w:cstheme="majorBidi"/>
      <w:b/>
      <w:bCs/>
      <w:color w:val="55564D" w:themeColor="background2" w:themeShade="80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0B8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40B8A"/>
    <w:rPr>
      <w:rFonts w:asciiTheme="majorHAnsi" w:eastAsiaTheme="majorEastAsia" w:hAnsiTheme="majorHAnsi" w:cstheme="majorBidi"/>
      <w:b/>
      <w:bCs/>
      <w:iCs/>
      <w:caps/>
      <w:color w:val="55564D" w:themeColor="background2" w:themeShade="80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D40B8A"/>
    <w:rPr>
      <w:rFonts w:asciiTheme="majorHAnsi" w:eastAsiaTheme="majorEastAsia" w:hAnsiTheme="majorHAnsi" w:cstheme="majorBidi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D40B8A"/>
    <w:rPr>
      <w:rFonts w:asciiTheme="majorHAnsi" w:eastAsiaTheme="majorEastAsia" w:hAnsiTheme="majorHAnsi" w:cstheme="majorBidi"/>
      <w:i/>
      <w:iCs/>
      <w:color w:val="A8A99E" w:themeColor="background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D40B8A"/>
    <w:rPr>
      <w:b/>
      <w:i/>
      <w:color w:val="A8A99E" w:themeColor="background2"/>
      <w:sz w:val="17"/>
    </w:rPr>
  </w:style>
  <w:style w:type="paragraph" w:styleId="Title">
    <w:name w:val="Title"/>
    <w:basedOn w:val="Normal"/>
    <w:next w:val="Normal"/>
    <w:link w:val="TitleChar"/>
    <w:uiPriority w:val="10"/>
    <w:rsid w:val="00D95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95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95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D95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D95BF6"/>
    <w:rPr>
      <w:i/>
      <w:iCs/>
      <w:color w:val="31718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95BF6"/>
    <w:pPr>
      <w:pBdr>
        <w:top w:val="single" w:sz="4" w:space="10" w:color="317187" w:themeColor="accent1" w:themeShade="BF"/>
        <w:bottom w:val="single" w:sz="4" w:space="10" w:color="317187" w:themeColor="accent1" w:themeShade="BF"/>
      </w:pBdr>
      <w:spacing w:before="360" w:after="360"/>
      <w:ind w:left="864" w:right="864"/>
      <w:jc w:val="center"/>
    </w:pPr>
    <w:rPr>
      <w:i/>
      <w:iCs/>
      <w:color w:val="31718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BF6"/>
    <w:rPr>
      <w:i/>
      <w:iCs/>
      <w:color w:val="317187" w:themeColor="accent1" w:themeShade="BF"/>
    </w:rPr>
  </w:style>
  <w:style w:type="character" w:styleId="IntenseReference">
    <w:name w:val="Intense Reference"/>
    <w:basedOn w:val="DefaultParagraphFont"/>
    <w:uiPriority w:val="32"/>
    <w:rsid w:val="00D95BF6"/>
    <w:rPr>
      <w:b/>
      <w:bCs/>
      <w:smallCaps/>
      <w:color w:val="317187" w:themeColor="accent1" w:themeShade="BF"/>
      <w:spacing w:val="5"/>
    </w:rPr>
  </w:style>
  <w:style w:type="paragraph" w:customStyle="1" w:styleId="12pt">
    <w:name w:val="12pt"/>
    <w:basedOn w:val="Normal"/>
    <w:uiPriority w:val="1"/>
    <w:qFormat/>
    <w:rsid w:val="00D40B8A"/>
    <w:rPr>
      <w:sz w:val="24"/>
    </w:rPr>
  </w:style>
  <w:style w:type="paragraph" w:customStyle="1" w:styleId="10pt">
    <w:name w:val="10pt"/>
    <w:basedOn w:val="Normal"/>
    <w:uiPriority w:val="1"/>
    <w:qFormat/>
    <w:rsid w:val="00D40B8A"/>
    <w:rPr>
      <w:sz w:val="20"/>
    </w:rPr>
  </w:style>
  <w:style w:type="character" w:customStyle="1" w:styleId="Affiliations">
    <w:name w:val="Affiliations"/>
    <w:basedOn w:val="DefaultParagraphFont"/>
    <w:uiPriority w:val="10"/>
    <w:semiHidden/>
    <w:unhideWhenUsed/>
    <w:qFormat/>
    <w:rsid w:val="00D40B8A"/>
    <w:rPr>
      <w:rFonts w:ascii="Arial" w:hAnsi="Arial"/>
      <w:caps/>
      <w:smallCaps w:val="0"/>
      <w:color w:val="FFFFFF" w:themeColor="background1"/>
      <w:sz w:val="24"/>
    </w:rPr>
  </w:style>
  <w:style w:type="paragraph" w:customStyle="1" w:styleId="DividerTitle">
    <w:name w:val="Divider Title"/>
    <w:basedOn w:val="Title"/>
    <w:uiPriority w:val="11"/>
    <w:semiHidden/>
    <w:unhideWhenUsed/>
    <w:qFormat/>
    <w:rsid w:val="00D40B8A"/>
    <w:pPr>
      <w:spacing w:before="200" w:after="120"/>
      <w:contextualSpacing w:val="0"/>
    </w:pPr>
    <w:rPr>
      <w:rFonts w:ascii="Arial Narrow" w:eastAsiaTheme="minorHAnsi" w:hAnsi="Arial Narrow" w:cstheme="minorBidi"/>
      <w:spacing w:val="0"/>
      <w:kern w:val="0"/>
      <w:sz w:val="44"/>
      <w:szCs w:val="48"/>
    </w:rPr>
  </w:style>
  <w:style w:type="paragraph" w:customStyle="1" w:styleId="Divider">
    <w:name w:val="Divider #"/>
    <w:basedOn w:val="DividerTitle"/>
    <w:uiPriority w:val="11"/>
    <w:semiHidden/>
    <w:unhideWhenUsed/>
    <w:qFormat/>
    <w:rsid w:val="00D40B8A"/>
    <w:rPr>
      <w:color w:val="000000" w:themeColor="text1"/>
      <w:sz w:val="220"/>
    </w:rPr>
  </w:style>
  <w:style w:type="paragraph" w:customStyle="1" w:styleId="BibliographyAuthor">
    <w:name w:val="BibliographyAuthor"/>
    <w:basedOn w:val="Bibliography"/>
    <w:uiPriority w:val="37"/>
    <w:semiHidden/>
    <w:unhideWhenUsed/>
    <w:qFormat/>
    <w:rsid w:val="00D40B8A"/>
    <w:pPr>
      <w:keepNext/>
      <w:keepLines/>
    </w:pPr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D40B8A"/>
  </w:style>
  <w:style w:type="paragraph" w:customStyle="1" w:styleId="HDRFooter">
    <w:name w:val="HDR Footer"/>
    <w:basedOn w:val="Normal"/>
    <w:uiPriority w:val="19"/>
    <w:qFormat/>
    <w:rsid w:val="00D40B8A"/>
    <w:pPr>
      <w:tabs>
        <w:tab w:val="center" w:pos="4680"/>
        <w:tab w:val="right" w:pos="9360"/>
      </w:tabs>
      <w:spacing w:after="0" w:line="240" w:lineRule="auto"/>
    </w:pPr>
    <w:rPr>
      <w:color w:val="54585A" w:themeColor="text2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0B8A"/>
    <w:pPr>
      <w:spacing w:line="240" w:lineRule="auto"/>
    </w:pPr>
    <w:rPr>
      <w:b/>
      <w:bCs/>
      <w:color w:val="000000" w:themeColor="text1"/>
      <w:sz w:val="18"/>
      <w:szCs w:val="18"/>
    </w:rPr>
  </w:style>
  <w:style w:type="paragraph" w:styleId="NoSpacing">
    <w:name w:val="No Spacing"/>
    <w:link w:val="NoSpacingChar"/>
    <w:uiPriority w:val="1"/>
    <w:qFormat/>
    <w:rsid w:val="00D40B8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40B8A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B8A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D40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B8A"/>
  </w:style>
  <w:style w:type="paragraph" w:styleId="Footer">
    <w:name w:val="footer"/>
    <w:basedOn w:val="Normal"/>
    <w:link w:val="FooterChar"/>
    <w:uiPriority w:val="99"/>
    <w:unhideWhenUsed/>
    <w:rsid w:val="00D40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B8A"/>
  </w:style>
  <w:style w:type="character" w:styleId="PlaceholderText">
    <w:name w:val="Placeholder Text"/>
    <w:basedOn w:val="DefaultParagraphFont"/>
    <w:uiPriority w:val="99"/>
    <w:semiHidden/>
    <w:rsid w:val="00D40B8A"/>
    <w:rPr>
      <w:color w:val="808080"/>
    </w:rPr>
  </w:style>
  <w:style w:type="table" w:customStyle="1" w:styleId="HDRFormTable">
    <w:name w:val="HDR Form Table"/>
    <w:basedOn w:val="TableNormal"/>
    <w:uiPriority w:val="99"/>
    <w:rsid w:val="00D40B8A"/>
    <w:pPr>
      <w:spacing w:after="0" w:line="240" w:lineRule="auto"/>
    </w:pPr>
    <w:rPr>
      <w:sz w:val="18"/>
    </w:rPr>
    <w:tblPr/>
  </w:style>
  <w:style w:type="paragraph" w:customStyle="1" w:styleId="HDRHeader">
    <w:name w:val="HDR Header"/>
    <w:basedOn w:val="Header"/>
    <w:uiPriority w:val="19"/>
    <w:rsid w:val="00D40B8A"/>
    <w:rPr>
      <w:noProof/>
      <w:color w:val="000000" w:themeColor="text1"/>
      <w:sz w:val="16"/>
    </w:rPr>
  </w:style>
  <w:style w:type="character" w:styleId="Strong">
    <w:name w:val="Strong"/>
    <w:basedOn w:val="DefaultParagraphFont"/>
    <w:uiPriority w:val="22"/>
    <w:rsid w:val="00D40B8A"/>
    <w:rPr>
      <w:b/>
      <w:bCs/>
    </w:rPr>
  </w:style>
  <w:style w:type="paragraph" w:styleId="Revision">
    <w:name w:val="Revision"/>
    <w:hidden/>
    <w:uiPriority w:val="99"/>
    <w:semiHidden/>
    <w:rsid w:val="00262F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2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DA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B2DAB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HDR_WordTheme">
  <a:themeElements>
    <a:clrScheme name="HDR_WORD-BrandingBright">
      <a:dk1>
        <a:sysClr val="windowText" lastClr="000000"/>
      </a:dk1>
      <a:lt1>
        <a:sysClr val="window" lastClr="FFFFFF"/>
      </a:lt1>
      <a:dk2>
        <a:srgbClr val="54585A"/>
      </a:dk2>
      <a:lt2>
        <a:srgbClr val="A8A99E"/>
      </a:lt2>
      <a:accent1>
        <a:srgbClr val="4298B5"/>
      </a:accent1>
      <a:accent2>
        <a:srgbClr val="C8102E"/>
      </a:accent2>
      <a:accent3>
        <a:srgbClr val="CA005D"/>
      </a:accent3>
      <a:accent4>
        <a:srgbClr val="FF8200"/>
      </a:accent4>
      <a:accent5>
        <a:srgbClr val="FFC600"/>
      </a:accent5>
      <a:accent6>
        <a:srgbClr val="78BE20"/>
      </a:accent6>
      <a:hlink>
        <a:srgbClr val="00549F"/>
      </a:hlink>
      <a:folHlink>
        <a:srgbClr val="6B1F7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403db-75b1-4aeb-b390-511d5b781d8d" xsi:nil="true"/>
    <lcf76f155ced4ddcb4097134ff3c332f xmlns="c5c686a1-d4a3-44e6-bdc5-657d7574ec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FB936E39C14C8AFC822A6036A796" ma:contentTypeVersion="11" ma:contentTypeDescription="Create a new document." ma:contentTypeScope="" ma:versionID="7c44c3e5f2d561b2ce0059ba3d6d3927">
  <xsd:schema xmlns:xsd="http://www.w3.org/2001/XMLSchema" xmlns:xs="http://www.w3.org/2001/XMLSchema" xmlns:p="http://schemas.microsoft.com/office/2006/metadata/properties" xmlns:ns2="c5c686a1-d4a3-44e6-bdc5-657d7574ecac" xmlns:ns3="7d2403db-75b1-4aeb-b390-511d5b781d8d" targetNamespace="http://schemas.microsoft.com/office/2006/metadata/properties" ma:root="true" ma:fieldsID="46ee9cde5a0bc9a2f0dbad282358161c" ns2:_="" ns3:_="">
    <xsd:import namespace="c5c686a1-d4a3-44e6-bdc5-657d7574ecac"/>
    <xsd:import namespace="7d2403db-75b1-4aeb-b390-511d5b781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686a1-d4a3-44e6-bdc5-657d7574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403db-75b1-4aeb-b390-511d5b781d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9140a3-f9b2-48e0-aab0-e4f9e545f5f7}" ma:internalName="TaxCatchAll" ma:showField="CatchAllData" ma:web="7d2403db-75b1-4aeb-b390-511d5b781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6DEA1-A818-49A2-8ABF-E5FCA777AE74}">
  <ds:schemaRefs>
    <ds:schemaRef ds:uri="http://purl.org/dc/terms/"/>
    <ds:schemaRef ds:uri="7d2403db-75b1-4aeb-b390-511d5b781d8d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c5c686a1-d4a3-44e6-bdc5-657d7574eca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37A342E-5ED8-4D20-BC07-67A4C913F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90941-9021-418A-923C-31C21D7BA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686a1-d4a3-44e6-bdc5-657d7574ecac"/>
    <ds:schemaRef ds:uri="7d2403db-75b1-4aeb-b390-511d5b781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67e201-cbdc-48b3-9b42-5d2d3f16e2a9}" enabled="0" method="" siteId="{3667e201-cbdc-48b3-9b42-5d2d3f16e2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McDonough, Patrick</dc:creator>
  <cp:keywords/>
  <dc:description/>
  <cp:lastModifiedBy>McDonough, Patrick</cp:lastModifiedBy>
  <cp:revision>17</cp:revision>
  <dcterms:created xsi:type="dcterms:W3CDTF">2025-06-30T14:49:00Z</dcterms:created>
  <dcterms:modified xsi:type="dcterms:W3CDTF">2025-06-30T20:58:00Z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0x0101007927FB936E39C14C8AFC822A6036A796</vt:lpwstr>
  </property>
  <property fmtid="{D5CDD505-2E9C-101B-9397-08002B2CF9AE}" pid="3" name="MediaServiceImageTags">
    <vt:lpwstr/>
  </property>
</Properties>
</file>