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91B5" w14:textId="3212D99C" w:rsidR="00A67D9D" w:rsidRPr="00D95BF6" w:rsidRDefault="00670288" w:rsidP="00D40B8A">
      <w:pPr>
        <w:pStyle w:val="Heading1"/>
      </w:pPr>
      <w:r>
        <w:t>Recommended Future Studies</w:t>
      </w:r>
      <w:r w:rsidR="00635AAD">
        <w:t xml:space="preserve"> </w:t>
      </w:r>
    </w:p>
    <w:p w14:paraId="68C675E0" w14:textId="77777777" w:rsidR="00F23AB0" w:rsidRDefault="00F23AB0" w:rsidP="00F23AB0">
      <w:pPr>
        <w:rPr>
          <w:b/>
          <w:bCs/>
        </w:rPr>
      </w:pPr>
    </w:p>
    <w:p w14:paraId="73A3C9B9" w14:textId="3E89B49E" w:rsidR="00F23AB0" w:rsidRDefault="002833AD" w:rsidP="00F23AB0">
      <w:r>
        <w:rPr>
          <w:b/>
          <w:bCs/>
        </w:rPr>
        <w:t>BACKGROUND</w:t>
      </w:r>
    </w:p>
    <w:p w14:paraId="555704D6" w14:textId="36D89797" w:rsidR="007D738D" w:rsidRDefault="00670288" w:rsidP="00F23AB0">
      <w:r>
        <w:t xml:space="preserve">In 2025, </w:t>
      </w:r>
      <w:r w:rsidR="002833AD">
        <w:t>Capital Area Metropolitan Planning Organization (CAMPO) and the Triangle West Transportation Planning Organization (TWTPO)</w:t>
      </w:r>
      <w:r>
        <w:t xml:space="preserve"> commissioned HDR</w:t>
      </w:r>
      <w:r w:rsidR="007D738D">
        <w:t xml:space="preserve"> to complete the </w:t>
      </w:r>
      <w:r w:rsidR="00EA2885">
        <w:t>Triangle Rail study</w:t>
      </w:r>
      <w:r w:rsidR="007D738D">
        <w:t xml:space="preserve"> to develop a strategic approach to an incremental expansion of Intercity Passenger Rail within the </w:t>
      </w:r>
      <w:r w:rsidR="00270206">
        <w:t>greater metropolitan</w:t>
      </w:r>
      <w:r w:rsidR="007D738D">
        <w:t xml:space="preserve"> area of</w:t>
      </w:r>
      <w:r w:rsidR="00270206">
        <w:t xml:space="preserve"> the Research Triangle Region in</w:t>
      </w:r>
      <w:r w:rsidR="007D738D">
        <w:t xml:space="preserve"> North Carolina.</w:t>
      </w:r>
    </w:p>
    <w:p w14:paraId="7D1A73D2" w14:textId="42B6A7F9" w:rsidR="007A41C6" w:rsidRPr="00BC0E87" w:rsidRDefault="00821126" w:rsidP="007A41C6">
      <w:r w:rsidRPr="00821126">
        <w:t xml:space="preserve">This project serves as a high-level strategic framework; however, the following studies </w:t>
      </w:r>
      <w:r w:rsidR="00EE0997">
        <w:t xml:space="preserve">can serve as foundational next steps to advancing the Triangle Rail network. </w:t>
      </w:r>
      <w:r w:rsidR="00330165">
        <w:t>.</w:t>
      </w:r>
    </w:p>
    <w:p w14:paraId="75A9B011" w14:textId="708B81F1" w:rsidR="00F97BC3" w:rsidRDefault="007C4B78" w:rsidP="00F23AB0">
      <w:r>
        <w:rPr>
          <w:b/>
          <w:bCs/>
        </w:rPr>
        <w:t>TRIANGLE RAIL PROJECT MATRIX AND DECISION TREE: WHEN TO UPDATE</w:t>
      </w:r>
    </w:p>
    <w:p w14:paraId="4C4AA7C9" w14:textId="1C91B89D" w:rsidR="00DE2FE2" w:rsidRDefault="007C4B78" w:rsidP="009B1C07">
      <w:r>
        <w:t>A</w:t>
      </w:r>
      <w:r w:rsidR="00E34B92">
        <w:t xml:space="preserve">t the completion of this study in the middle of 2025, we have seen </w:t>
      </w:r>
      <w:r w:rsidR="00971192">
        <w:t xml:space="preserve">several significant changes in focus in transportation policy under the new administration, but it is not yet clear how </w:t>
      </w:r>
      <w:r w:rsidR="00A969D7">
        <w:t xml:space="preserve">federal grant criteria may be affected. The Triangle Rail Project Matrix and Decision Tree strategic approach are both based on </w:t>
      </w:r>
      <w:r w:rsidR="009B1C07">
        <w:t>the existing policy programs as of late 2024 and early 2025 under the Federal Railroad Administration (FRA).</w:t>
      </w:r>
    </w:p>
    <w:p w14:paraId="719028F8" w14:textId="5F79593E" w:rsidR="009B1C07" w:rsidRDefault="00955F15" w:rsidP="009B1C07">
      <w:r>
        <w:t xml:space="preserve">Since it cannot be predicted if or when federal policy may change, in the first decade of using this strategic framework, it seems appropriate to assume that there will be benefits to </w:t>
      </w:r>
      <w:r w:rsidRPr="002815CC">
        <w:rPr>
          <w:b/>
          <w:bCs/>
          <w:u w:val="single"/>
        </w:rPr>
        <w:t>updating</w:t>
      </w:r>
      <w:r w:rsidR="00D46514" w:rsidRPr="002815CC">
        <w:rPr>
          <w:b/>
          <w:bCs/>
          <w:u w:val="single"/>
        </w:rPr>
        <w:t xml:space="preserve"> the Project Matrix and Decision Tree every two years</w:t>
      </w:r>
      <w:r w:rsidR="00D46514">
        <w:t xml:space="preserve"> AFTER the most recent NCDOT SPOT scores have been released in the latest round of prioritization. </w:t>
      </w:r>
    </w:p>
    <w:p w14:paraId="7BAA6C69" w14:textId="66D4B767" w:rsidR="009B1C07" w:rsidRDefault="002815CC" w:rsidP="009B1C07">
      <w:r>
        <w:t>The MPOs can monitor how much the Project Matrix and Decision Tree change</w:t>
      </w:r>
      <w:r w:rsidR="00473A69">
        <w:t xml:space="preserve">, and if policy changes are less frequent, the MPOs may elect to updating the Project Matrix and Decision Tree once every four years, with </w:t>
      </w:r>
      <w:r w:rsidR="00064992">
        <w:t>the time for the study</w:t>
      </w:r>
      <w:r w:rsidR="00473A69">
        <w:t xml:space="preserve"> being driven </w:t>
      </w:r>
      <w:r w:rsidR="00064992">
        <w:t>by</w:t>
      </w:r>
      <w:r w:rsidR="00473A69">
        <w:t xml:space="preserve"> the most recent NCDOT SPOT prioritization</w:t>
      </w:r>
      <w:r w:rsidR="00064992">
        <w:t xml:space="preserve"> and when inputs would be useful for the Metropolitan Transportation Plans (MTPs) of both MPOs.</w:t>
      </w:r>
    </w:p>
    <w:p w14:paraId="384CB60F" w14:textId="6B66F75D" w:rsidR="00111B1F" w:rsidRPr="002B6EA4" w:rsidRDefault="00111B1F" w:rsidP="009B1C07">
      <w:pPr>
        <w:rPr>
          <w:u w:val="single"/>
        </w:rPr>
      </w:pPr>
      <w:r w:rsidRPr="002B6EA4">
        <w:rPr>
          <w:u w:val="single"/>
        </w:rPr>
        <w:t>Recommended Study Lead Agency or Agencies: CAMPO &amp; TWTPO</w:t>
      </w:r>
    </w:p>
    <w:p w14:paraId="1E780147" w14:textId="5F13F128" w:rsidR="004C506B" w:rsidRPr="001075EB" w:rsidRDefault="004C506B" w:rsidP="004C506B">
      <w:pPr>
        <w:rPr>
          <w:b/>
          <w:bCs/>
        </w:rPr>
      </w:pPr>
      <w:r>
        <w:rPr>
          <w:b/>
          <w:bCs/>
        </w:rPr>
        <w:t>SERVICE DEVELOPMENT PLANS</w:t>
      </w:r>
      <w:r w:rsidR="007F0DCE">
        <w:rPr>
          <w:b/>
          <w:bCs/>
        </w:rPr>
        <w:t xml:space="preserve"> &amp; CORRIDOR ID MERGER STUDIES</w:t>
      </w:r>
    </w:p>
    <w:p w14:paraId="60082194" w14:textId="2B84BB6E" w:rsidR="004C506B" w:rsidRDefault="004C506B" w:rsidP="00487244">
      <w:r>
        <w:t xml:space="preserve">To the extent that </w:t>
      </w:r>
      <w:r w:rsidR="00B556E0">
        <w:t>the Triangle region seeks to expand Intercity Passenger Rail with the Federal Government as a partner</w:t>
      </w:r>
      <w:r w:rsidR="004C0D52">
        <w:t xml:space="preserve"> </w:t>
      </w:r>
      <w:r w:rsidR="007211D2">
        <w:t xml:space="preserve">for any of the </w:t>
      </w:r>
      <w:r w:rsidR="004C0D52">
        <w:t xml:space="preserve">competitive grant programs offered by the FRA, </w:t>
      </w:r>
      <w:r w:rsidR="00E72469">
        <w:t xml:space="preserve">there will need to be a </w:t>
      </w:r>
      <w:r w:rsidR="00925BE4">
        <w:t xml:space="preserve">Service Development Plan </w:t>
      </w:r>
      <w:r w:rsidR="004F08B5">
        <w:t xml:space="preserve">that supports </w:t>
      </w:r>
      <w:r w:rsidR="00925BE4">
        <w:t>a defined Service Concept like the ones used in this study.</w:t>
      </w:r>
    </w:p>
    <w:p w14:paraId="4ACB4B72" w14:textId="2193725F" w:rsidR="00925BE4" w:rsidRDefault="0044418B" w:rsidP="00487244">
      <w:r>
        <w:t>Among the potential Service Concepts considered in this study, the project team</w:t>
      </w:r>
      <w:r w:rsidR="007F7894">
        <w:t xml:space="preserve"> believes that the Mebane to Clayton Service Concept is most likely to be competitive for Federal Funds.</w:t>
      </w:r>
    </w:p>
    <w:p w14:paraId="01BD5FC4" w14:textId="1B43B867" w:rsidR="007F7894" w:rsidRDefault="00D14001" w:rsidP="00487244">
      <w:r>
        <w:t>The Mebane to Clayton Service Concept overlaps with two Corridor ID grants</w:t>
      </w:r>
      <w:r w:rsidR="00BD5741">
        <w:t xml:space="preserve"> that NCDOT has secured</w:t>
      </w:r>
      <w:r w:rsidR="00530B57">
        <w:t xml:space="preserve"> which consider potential Service Concepts from:</w:t>
      </w:r>
    </w:p>
    <w:p w14:paraId="5E3542F0" w14:textId="1DE09E23" w:rsidR="00530B57" w:rsidRDefault="00530B57" w:rsidP="00530B57">
      <w:pPr>
        <w:pStyle w:val="ListParagraph"/>
        <w:numPr>
          <w:ilvl w:val="0"/>
          <w:numId w:val="11"/>
        </w:numPr>
      </w:pPr>
      <w:r>
        <w:lastRenderedPageBreak/>
        <w:t>Winston-Salem to Raleigh</w:t>
      </w:r>
    </w:p>
    <w:p w14:paraId="7373F9B1" w14:textId="41E43532" w:rsidR="00530B57" w:rsidRDefault="00530B57" w:rsidP="00530B57">
      <w:pPr>
        <w:pStyle w:val="ListParagraph"/>
        <w:numPr>
          <w:ilvl w:val="0"/>
          <w:numId w:val="11"/>
        </w:numPr>
      </w:pPr>
      <w:r>
        <w:t>Raleigh to Wilmington</w:t>
      </w:r>
    </w:p>
    <w:p w14:paraId="1B8B9CF7" w14:textId="67A07465" w:rsidR="00530B57" w:rsidRDefault="00530B57" w:rsidP="00530B57">
      <w:r>
        <w:t xml:space="preserve">Any Service Concept prioritized by the region should look for opportunities to harmonize </w:t>
      </w:r>
      <w:r w:rsidR="00F92E3F">
        <w:t xml:space="preserve">or even merge with Corridor ID studies that cover the same corridors and rail alignments. Continuous dialogue with NCDOT Rail </w:t>
      </w:r>
      <w:r w:rsidR="002A406B">
        <w:t>will help identify the best opportunities for these kinds of partnerships.</w:t>
      </w:r>
    </w:p>
    <w:p w14:paraId="05E201CF" w14:textId="4D5CA4DE" w:rsidR="00920D7E" w:rsidRDefault="007F0DCE" w:rsidP="00530B57">
      <w:r>
        <w:t xml:space="preserve">One potential study upstream from the region’s first Service Development Plan could be a jointly sponsored study between the MPOs and NCDOT Rail to discern the </w:t>
      </w:r>
      <w:r w:rsidR="005B5C53">
        <w:t>benefits and challenges</w:t>
      </w:r>
      <w:r>
        <w:t xml:space="preserve"> of merging any of the proposed Service Concepts in the </w:t>
      </w:r>
      <w:r w:rsidR="00EA2885">
        <w:t>Triangle Rail study</w:t>
      </w:r>
      <w:r>
        <w:t xml:space="preserve"> with one or more of the Corridor ID grant projects that NCDOT is planning.</w:t>
      </w:r>
    </w:p>
    <w:p w14:paraId="413491D0" w14:textId="1D374841" w:rsidR="00111B1F" w:rsidRPr="002B6EA4" w:rsidRDefault="00111B1F" w:rsidP="00111B1F">
      <w:pPr>
        <w:rPr>
          <w:u w:val="single"/>
        </w:rPr>
      </w:pPr>
      <w:r w:rsidRPr="002B6EA4">
        <w:rPr>
          <w:u w:val="single"/>
        </w:rPr>
        <w:t>Recommended Study Lead Agency or Agencies: NCDOT Rail, CAMPO &amp; TWTPO</w:t>
      </w:r>
    </w:p>
    <w:p w14:paraId="73E1989C" w14:textId="7FD4D20D" w:rsidR="0086791F" w:rsidRPr="00493CC4" w:rsidRDefault="007C4B78" w:rsidP="00487244">
      <w:pPr>
        <w:rPr>
          <w:b/>
          <w:bCs/>
        </w:rPr>
      </w:pPr>
      <w:r>
        <w:rPr>
          <w:b/>
          <w:bCs/>
        </w:rPr>
        <w:t xml:space="preserve">PASSENGER </w:t>
      </w:r>
      <w:r w:rsidR="00D26FA7">
        <w:rPr>
          <w:b/>
          <w:bCs/>
        </w:rPr>
        <w:t>STATION</w:t>
      </w:r>
      <w:r>
        <w:rPr>
          <w:b/>
          <w:bCs/>
        </w:rPr>
        <w:t xml:space="preserve"> RIDERSHIP ANALYSES</w:t>
      </w:r>
    </w:p>
    <w:p w14:paraId="6E8E35F5" w14:textId="5510DA5A" w:rsidR="00D26FA7" w:rsidRDefault="00D26FA7" w:rsidP="00666C4E">
      <w:r>
        <w:t xml:space="preserve">The Project Matrix contains </w:t>
      </w:r>
      <w:r w:rsidR="00C71681">
        <w:t xml:space="preserve">several proposed new stations that will </w:t>
      </w:r>
      <w:r w:rsidR="005B214F">
        <w:t>need station buildings, support facilities,</w:t>
      </w:r>
      <w:r w:rsidR="00A84D21">
        <w:t xml:space="preserve"> </w:t>
      </w:r>
      <w:r w:rsidR="005B214F">
        <w:t>station tracks and tra</w:t>
      </w:r>
      <w:r w:rsidR="00C71681">
        <w:t>ckwork</w:t>
      </w:r>
      <w:r w:rsidR="00BF794B">
        <w:t xml:space="preserve"> to</w:t>
      </w:r>
      <w:r w:rsidR="00C71681">
        <w:t xml:space="preserve"> </w:t>
      </w:r>
      <w:r w:rsidR="00352206">
        <w:t>become fully operational</w:t>
      </w:r>
      <w:r w:rsidR="000A0E9C">
        <w:t>.</w:t>
      </w:r>
      <w:r w:rsidR="00352206">
        <w:t xml:space="preserve"> </w:t>
      </w:r>
      <w:r w:rsidR="000A0E9C">
        <w:t xml:space="preserve"> </w:t>
      </w:r>
    </w:p>
    <w:p w14:paraId="57536E48" w14:textId="6EF9FA42" w:rsidR="005704E1" w:rsidRDefault="005704E1" w:rsidP="00666C4E">
      <w:r>
        <w:t xml:space="preserve">It is possible that FRA’s focus on Intercity travel will </w:t>
      </w:r>
      <w:r w:rsidR="006F1AE0">
        <w:t>lead the region to Service Development Plans that have stations spaced more widely than regional stakeholders may desire</w:t>
      </w:r>
      <w:r w:rsidR="004B4533">
        <w:t xml:space="preserve">. </w:t>
      </w:r>
      <w:r w:rsidR="00F81D90">
        <w:t>Prior</w:t>
      </w:r>
      <w:r w:rsidR="004B4533">
        <w:t xml:space="preserve"> FRA initiatives have considered </w:t>
      </w:r>
      <w:r w:rsidR="00F81D90">
        <w:t>station spacing of</w:t>
      </w:r>
      <w:r w:rsidR="004B4533">
        <w:t xml:space="preserve"> 16 miles or more as a best practice. </w:t>
      </w:r>
    </w:p>
    <w:p w14:paraId="77AF613E" w14:textId="3D66AFDA" w:rsidR="00F81D90" w:rsidRDefault="00F81D90" w:rsidP="00666C4E">
      <w:r>
        <w:t>This may mean that</w:t>
      </w:r>
      <w:r w:rsidR="000712F5">
        <w:t xml:space="preserve"> a Service Development Plan </w:t>
      </w:r>
      <w:r w:rsidR="00F50780">
        <w:t>would have to choose to include</w:t>
      </w:r>
      <w:r w:rsidR="000712F5">
        <w:t xml:space="preserve"> some but not all of the proposed stations along a given Service Concept to match FRA criteria, with a need to add all the stations the region desires over time.</w:t>
      </w:r>
    </w:p>
    <w:p w14:paraId="10468E32" w14:textId="5DD952F4" w:rsidR="00F50780" w:rsidRDefault="00F50780" w:rsidP="00666C4E">
      <w:r>
        <w:t>Both to maximize benefits to the region, and to help the region plan for capital funding of any stations that are unable to be included in a larger Service Development Plan, a study of the ridership potential of all proposed new stations</w:t>
      </w:r>
      <w:r w:rsidR="00877D88">
        <w:t xml:space="preserve"> could help the region take a data-driven approach to which stations would be included in a Federally-funded projec</w:t>
      </w:r>
      <w:r w:rsidR="008B33E9">
        <w:t>t</w:t>
      </w:r>
      <w:r w:rsidR="00D06B8F">
        <w:t>, perhaps for a BUILD grant</w:t>
      </w:r>
      <w:r w:rsidR="008B33E9">
        <w:t>.</w:t>
      </w:r>
    </w:p>
    <w:p w14:paraId="3A8B8C19" w14:textId="06796EAB" w:rsidR="008B33E9" w:rsidRPr="00D26FA7" w:rsidRDefault="008B33E9" w:rsidP="00666C4E">
      <w:r>
        <w:t>The study would also develop capital costs so that local or state funding could be used to fund station improvements at the additional stations to be added in the future</w:t>
      </w:r>
      <w:r w:rsidR="00280D09">
        <w:t>.</w:t>
      </w:r>
    </w:p>
    <w:p w14:paraId="1CC58320" w14:textId="77777777" w:rsidR="00390E25" w:rsidRPr="002B6EA4" w:rsidRDefault="00390E25" w:rsidP="00390E25">
      <w:pPr>
        <w:rPr>
          <w:u w:val="single"/>
        </w:rPr>
      </w:pPr>
      <w:r w:rsidRPr="002B6EA4">
        <w:rPr>
          <w:u w:val="single"/>
        </w:rPr>
        <w:t>Recommended Study Lead Agency or Agencies: NCDOT Rail, CAMPO &amp; TWTPO</w:t>
      </w:r>
    </w:p>
    <w:p w14:paraId="5D86413B" w14:textId="4FED262E" w:rsidR="00B273F2" w:rsidRPr="00390E25" w:rsidRDefault="00B273F2" w:rsidP="00B273F2">
      <w:pPr>
        <w:rPr>
          <w:b/>
          <w:bCs/>
        </w:rPr>
      </w:pPr>
      <w:r w:rsidRPr="00390E25">
        <w:rPr>
          <w:b/>
          <w:bCs/>
        </w:rPr>
        <w:t>REGIONAL MAINTENANCE FACILITY SITE SEARCH</w:t>
      </w:r>
    </w:p>
    <w:p w14:paraId="1B2AF045" w14:textId="3CFC74B6" w:rsidR="00B273F2" w:rsidRDefault="0058002C" w:rsidP="00B273F2">
      <w:r>
        <w:t>One</w:t>
      </w:r>
      <w:r w:rsidR="00F605F1">
        <w:t xml:space="preserve"> of the most mission critical facilities for a future Triangle Rail network will be a maintenance facility for trains that serve the region. </w:t>
      </w:r>
      <w:r w:rsidR="00A927BD">
        <w:t>The requirements for such a site are complex and sites</w:t>
      </w:r>
      <w:r w:rsidR="00CA41AA">
        <w:t xml:space="preserve"> suitable for</w:t>
      </w:r>
      <w:r w:rsidR="003D629C">
        <w:t xml:space="preserve"> </w:t>
      </w:r>
      <w:r w:rsidR="003A1120">
        <w:t xml:space="preserve">a </w:t>
      </w:r>
      <w:r w:rsidR="003D629C">
        <w:t xml:space="preserve">maintenance </w:t>
      </w:r>
      <w:r w:rsidR="003A1120">
        <w:t>facilit</w:t>
      </w:r>
      <w:r w:rsidR="00CF7703">
        <w:t>y</w:t>
      </w:r>
      <w:r w:rsidR="00A927BD">
        <w:t xml:space="preserve"> are limited. In an expensive real estate market like the Triangle, there is significant competition with other land uses for suitable sites.</w:t>
      </w:r>
      <w:r w:rsidR="005D5A1A">
        <w:t xml:space="preserve"> Completing a search that builds on the Greater Triangle Commuter Rail Study but takes a broader look at sites in the region</w:t>
      </w:r>
      <w:r w:rsidR="006373D4">
        <w:t xml:space="preserve"> is crucial to support a potential protective land purchase for a future rail maintenance facility.</w:t>
      </w:r>
    </w:p>
    <w:p w14:paraId="023C3418" w14:textId="66283FD5" w:rsidR="006373D4" w:rsidRPr="002B6EA4" w:rsidRDefault="006373D4" w:rsidP="006373D4">
      <w:pPr>
        <w:rPr>
          <w:u w:val="single"/>
        </w:rPr>
      </w:pPr>
      <w:r w:rsidRPr="51FA1539">
        <w:rPr>
          <w:u w:val="single"/>
        </w:rPr>
        <w:t>Recommended Study Lead Agency or Agencies: NCDOT Rail, GoTriangle, CAMPO &amp; TWTPO</w:t>
      </w:r>
    </w:p>
    <w:p w14:paraId="36E45183" w14:textId="504D7875" w:rsidR="00CF615B" w:rsidRDefault="00CF615B" w:rsidP="00B273F2">
      <w:r>
        <w:rPr>
          <w:b/>
          <w:bCs/>
        </w:rPr>
        <w:lastRenderedPageBreak/>
        <w:t>NETWORK RAIL OPERATIONS STUDY</w:t>
      </w:r>
    </w:p>
    <w:p w14:paraId="14281BF9" w14:textId="48045BD0" w:rsidR="00A42895" w:rsidRDefault="00CF615B" w:rsidP="00B273F2">
      <w:r>
        <w:t xml:space="preserve">Planning for </w:t>
      </w:r>
      <w:r w:rsidR="00AA1F26">
        <w:t>a</w:t>
      </w:r>
      <w:r>
        <w:t xml:space="preserve"> Triangle Rail </w:t>
      </w:r>
      <w:r w:rsidR="00AA1F26">
        <w:t>network will</w:t>
      </w:r>
      <w:r w:rsidR="00FD5CC9">
        <w:t xml:space="preserve"> </w:t>
      </w:r>
      <w:r w:rsidR="00647C17">
        <w:t xml:space="preserve">continue at the same time that NCDOT Rail plans for rail expansion across North Carolina and into other states such as Virginia with the Southeast High Speed Rail project. </w:t>
      </w:r>
      <w:r w:rsidR="004823A9">
        <w:t xml:space="preserve">As the region and state create Service Development Plans, </w:t>
      </w:r>
      <w:r w:rsidR="003D3E97">
        <w:t xml:space="preserve">an effort to model both freight and passenger train operations </w:t>
      </w:r>
      <w:r w:rsidR="00D26514">
        <w:t>both within and beyond the area of the Service Development Plan can help identify future bottlenecks</w:t>
      </w:r>
      <w:r w:rsidR="00B62689">
        <w:t xml:space="preserve"> and </w:t>
      </w:r>
      <w:r w:rsidR="001E0E24">
        <w:t>strategies for</w:t>
      </w:r>
      <w:r w:rsidR="00B62689">
        <w:t xml:space="preserve"> addressing those bottlenecks</w:t>
      </w:r>
      <w:r w:rsidR="00D26514">
        <w:t>.</w:t>
      </w:r>
      <w:r w:rsidR="00B62689">
        <w:t xml:space="preserve"> For example, </w:t>
      </w:r>
      <w:r w:rsidR="0012654F">
        <w:t xml:space="preserve">the Network Rail Operations study could undertake </w:t>
      </w:r>
      <w:r w:rsidR="00B617BF">
        <w:t>an analysis of how to increase train throughput between Cary and Raleigh</w:t>
      </w:r>
      <w:r w:rsidR="00A36E48">
        <w:t xml:space="preserve">. </w:t>
      </w:r>
      <w:r w:rsidR="00AE7D21">
        <w:t xml:space="preserve">As part of the study, strategies to </w:t>
      </w:r>
      <w:r w:rsidR="00B617BF">
        <w:t>consider</w:t>
      </w:r>
      <w:r w:rsidR="00AE7D21">
        <w:t xml:space="preserve"> may include</w:t>
      </w:r>
      <w:r w:rsidR="00B617BF">
        <w:t xml:space="preserve"> adding one or more sidings, a third mainline track, or </w:t>
      </w:r>
      <w:r w:rsidR="0012654F" w:rsidRPr="0012654F">
        <w:t>a shorter passenger train crossover, like the Franconia Bypass project by VPRA</w:t>
      </w:r>
      <w:r w:rsidR="0012654F">
        <w:t>.</w:t>
      </w:r>
      <w:r w:rsidR="00D26514">
        <w:t xml:space="preserve"> </w:t>
      </w:r>
      <w:r w:rsidR="004757B9">
        <w:t xml:space="preserve">These types of comparisons of potential approaches could inform the </w:t>
      </w:r>
      <w:r w:rsidR="00A42895">
        <w:t>updating of the Project Matrix by the MPOs.</w:t>
      </w:r>
    </w:p>
    <w:p w14:paraId="34510D7D" w14:textId="0BA7AB59" w:rsidR="00CF615B" w:rsidRDefault="00D26514" w:rsidP="00B273F2">
      <w:r>
        <w:t>The public sector may wish to engage</w:t>
      </w:r>
      <w:r w:rsidR="00003B44">
        <w:t xml:space="preserve"> freight partners directly in this kind of study.</w:t>
      </w:r>
    </w:p>
    <w:p w14:paraId="333A909D" w14:textId="3165DEC0" w:rsidR="00003B44" w:rsidRPr="002B6EA4" w:rsidRDefault="00003B44" w:rsidP="00B273F2">
      <w:pPr>
        <w:rPr>
          <w:u w:val="single"/>
        </w:rPr>
      </w:pPr>
      <w:r w:rsidRPr="002B6EA4">
        <w:rPr>
          <w:u w:val="single"/>
        </w:rPr>
        <w:t>Recommended Study Lead Agency or Agencies: NCDOT Rail</w:t>
      </w:r>
    </w:p>
    <w:p w14:paraId="6DBCE348" w14:textId="4BEBB5B4" w:rsidR="006373D4" w:rsidRPr="00280D09" w:rsidRDefault="003F6BFD" w:rsidP="00B273F2">
      <w:pPr>
        <w:rPr>
          <w:b/>
          <w:bCs/>
        </w:rPr>
      </w:pPr>
      <w:r w:rsidRPr="00280D09">
        <w:rPr>
          <w:b/>
          <w:bCs/>
        </w:rPr>
        <w:t>STATION SITE PRE-NEPA PLANNING STUDIES</w:t>
      </w:r>
    </w:p>
    <w:p w14:paraId="10AFCF83" w14:textId="1C729EAB" w:rsidR="003F6BFD" w:rsidRDefault="00FA51FB" w:rsidP="00B273F2">
      <w:r>
        <w:t>Station site development helps maximize the benefits of the region in its rail network</w:t>
      </w:r>
      <w:r w:rsidR="00930D73">
        <w:t>. Conducting these studies, as ha</w:t>
      </w:r>
      <w:r w:rsidR="002A3E76">
        <w:t xml:space="preserve">ve </w:t>
      </w:r>
      <w:r w:rsidR="00113158">
        <w:t xml:space="preserve">been completed in </w:t>
      </w:r>
      <w:r w:rsidR="00930D73">
        <w:t>Hillsborough in recent years, helps confirm the sites for future stations and aligns capital plans in municipalities and partner agencies</w:t>
      </w:r>
      <w:r w:rsidR="001B429F">
        <w:t xml:space="preserve"> to make investments that support a future station site.</w:t>
      </w:r>
    </w:p>
    <w:p w14:paraId="7B5BA215" w14:textId="51344FD5" w:rsidR="001B429F" w:rsidRPr="002B6EA4" w:rsidRDefault="001B429F" w:rsidP="001B429F">
      <w:pPr>
        <w:rPr>
          <w:u w:val="single"/>
        </w:rPr>
      </w:pPr>
      <w:r w:rsidRPr="002B6EA4">
        <w:rPr>
          <w:u w:val="single"/>
        </w:rPr>
        <w:t>Recommended Study Lead Agency or Agencies: NCDOT Rail, Municipality, and Municipality’s MPO</w:t>
      </w:r>
    </w:p>
    <w:p w14:paraId="73C9D209" w14:textId="4440648E" w:rsidR="00B70421" w:rsidRDefault="00536C30" w:rsidP="00831D48">
      <w:pPr>
        <w:rPr>
          <w:b/>
          <w:bCs/>
        </w:rPr>
      </w:pPr>
      <w:r>
        <w:rPr>
          <w:b/>
          <w:bCs/>
        </w:rPr>
        <w:t xml:space="preserve">“SLOW SERVICE” </w:t>
      </w:r>
      <w:r w:rsidR="002A3E76">
        <w:rPr>
          <w:b/>
          <w:bCs/>
        </w:rPr>
        <w:t>BENEFIT: COST</w:t>
      </w:r>
      <w:r w:rsidR="00991946">
        <w:rPr>
          <w:b/>
          <w:bCs/>
        </w:rPr>
        <w:t xml:space="preserve"> ANALYSIS STUD</w:t>
      </w:r>
      <w:r>
        <w:rPr>
          <w:b/>
          <w:bCs/>
        </w:rPr>
        <w:t>Y</w:t>
      </w:r>
    </w:p>
    <w:p w14:paraId="143CB4EB" w14:textId="08380DF6" w:rsidR="0003750A" w:rsidRDefault="0003750A" w:rsidP="00831D48">
      <w:r>
        <w:t xml:space="preserve">One </w:t>
      </w:r>
      <w:r w:rsidR="00A758AA">
        <w:t xml:space="preserve">unusual idea that emerged during the study was </w:t>
      </w:r>
      <w:r w:rsidR="00117CB1">
        <w:t>a proposal to try to open</w:t>
      </w:r>
      <w:r w:rsidR="00D83084">
        <w:t xml:space="preserve"> a very low-cost, low-performance service in the region that was not competitive with driving travel times. The reason </w:t>
      </w:r>
      <w:r w:rsidR="00F86728">
        <w:t>for doing</w:t>
      </w:r>
      <w:r w:rsidR="00D83084">
        <w:t xml:space="preserve"> this would be that </w:t>
      </w:r>
      <w:r w:rsidR="00F35EAF">
        <w:t>some of the ability to leverage funding, particularly NCDOT SPOT funding, can be much easier when upgrading an existing service as compared to starting a new service for the first time.</w:t>
      </w:r>
    </w:p>
    <w:p w14:paraId="114000B0" w14:textId="0CEB159D" w:rsidR="00F35EAF" w:rsidRDefault="00F35EAF" w:rsidP="00831D48">
      <w:r>
        <w:t>The project team discussed this in a Technical Steering Committee (TSC) and there was recognition that</w:t>
      </w:r>
      <w:r w:rsidR="00536C30">
        <w:t xml:space="preserve"> </w:t>
      </w:r>
      <w:r w:rsidR="00347A34">
        <w:t>a service between two cities that was much slower than driving would not be as well-received by the public than a higher-cost and higher-performance service</w:t>
      </w:r>
      <w:r w:rsidR="00FB0C4D">
        <w:t>, and that the timetable from when a “Slow Service” could be upgraded to one that runs like the Amtrak Piedmont service was not clear.</w:t>
      </w:r>
    </w:p>
    <w:p w14:paraId="7677B8BA" w14:textId="645445E6" w:rsidR="00FB0C4D" w:rsidRDefault="000B79D6" w:rsidP="00831D48">
      <w:r>
        <w:t>A study to compare the benefits and costs of this approach could be useful to determine if this unconventional approach has any merit</w:t>
      </w:r>
      <w:r w:rsidR="00B0117B">
        <w:t xml:space="preserve"> as an implementation strategy in the region.</w:t>
      </w:r>
    </w:p>
    <w:p w14:paraId="5984AF8B" w14:textId="77777777" w:rsidR="002B6EA4" w:rsidRPr="002B6EA4" w:rsidRDefault="002B6EA4" w:rsidP="002B6EA4">
      <w:pPr>
        <w:rPr>
          <w:u w:val="single"/>
        </w:rPr>
      </w:pPr>
      <w:r w:rsidRPr="002B6EA4">
        <w:rPr>
          <w:u w:val="single"/>
        </w:rPr>
        <w:t>Recommended Study Lead Agency or Agencies: NCDOT Rail, CAMPO &amp; TWTPO</w:t>
      </w:r>
    </w:p>
    <w:p w14:paraId="7739FE87" w14:textId="77777777" w:rsidR="002B6EA4" w:rsidRPr="0003750A" w:rsidRDefault="002B6EA4" w:rsidP="00831D48"/>
    <w:sectPr w:rsidR="002B6EA4" w:rsidRPr="0003750A" w:rsidSect="007475FF">
      <w:headerReference w:type="default" r:id="rId10"/>
      <w:footerReference w:type="default" r:id="rId11"/>
      <w:pgSz w:w="12240" w:h="15840"/>
      <w:pgMar w:top="1440" w:right="1080" w:bottom="1440"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772C" w14:textId="77777777" w:rsidR="002F4759" w:rsidRDefault="002F4759" w:rsidP="00D40B8A">
      <w:pPr>
        <w:spacing w:after="0" w:line="240" w:lineRule="auto"/>
      </w:pPr>
      <w:r>
        <w:separator/>
      </w:r>
    </w:p>
  </w:endnote>
  <w:endnote w:type="continuationSeparator" w:id="0">
    <w:p w14:paraId="1926390F" w14:textId="77777777" w:rsidR="002F4759" w:rsidRDefault="002F4759" w:rsidP="00D4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24327"/>
      <w:docPartObj>
        <w:docPartGallery w:val="Page Numbers (Bottom of Page)"/>
        <w:docPartUnique/>
      </w:docPartObj>
    </w:sdtPr>
    <w:sdtEndPr>
      <w:rPr>
        <w:noProof/>
      </w:rPr>
    </w:sdtEndPr>
    <w:sdtContent>
      <w:p w14:paraId="53C4A50E" w14:textId="3DDC781D" w:rsidR="00EE0997" w:rsidRDefault="00EE09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372D8E" w14:textId="77777777" w:rsidR="00EE0997" w:rsidRDefault="00EE0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5041" w14:textId="77777777" w:rsidR="002F4759" w:rsidRDefault="002F4759" w:rsidP="00D40B8A">
      <w:pPr>
        <w:spacing w:after="0" w:line="240" w:lineRule="auto"/>
      </w:pPr>
      <w:r>
        <w:separator/>
      </w:r>
    </w:p>
  </w:footnote>
  <w:footnote w:type="continuationSeparator" w:id="0">
    <w:p w14:paraId="3DBECA54" w14:textId="77777777" w:rsidR="002F4759" w:rsidRDefault="002F4759" w:rsidP="00D40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DRFormTable"/>
      <w:tblW w:w="9216" w:type="dxa"/>
      <w:jc w:val="right"/>
      <w:tblCellMar>
        <w:left w:w="0" w:type="dxa"/>
        <w:right w:w="0" w:type="dxa"/>
      </w:tblCellMar>
      <w:tblLook w:val="0600" w:firstRow="0" w:lastRow="0" w:firstColumn="0" w:lastColumn="0" w:noHBand="1" w:noVBand="1"/>
    </w:tblPr>
    <w:tblGrid>
      <w:gridCol w:w="8208"/>
      <w:gridCol w:w="1008"/>
    </w:tblGrid>
    <w:tr w:rsidR="00D40B8A" w:rsidRPr="00765289" w14:paraId="785C71A1" w14:textId="77777777" w:rsidTr="00D4645C">
      <w:trPr>
        <w:jc w:val="right"/>
      </w:trPr>
      <w:tc>
        <w:tcPr>
          <w:tcW w:w="8208" w:type="dxa"/>
        </w:tcPr>
        <w:p w14:paraId="1E9E3130" w14:textId="33984960" w:rsidR="00D40B8A" w:rsidRPr="00B21726" w:rsidRDefault="00000000" w:rsidP="00D4645C">
          <w:pPr>
            <w:pStyle w:val="HDRHeader"/>
            <w:jc w:val="right"/>
          </w:pPr>
          <w:sdt>
            <w:sdtPr>
              <w:rPr>
                <w:rStyle w:val="Strong"/>
              </w:rPr>
              <w:alias w:val="Client"/>
              <w:tag w:val="Client"/>
              <w:id w:val="330409926"/>
            </w:sdtPr>
            <w:sdtContent>
              <w:r w:rsidR="00D40B8A">
                <w:rPr>
                  <w:rStyle w:val="Strong"/>
                </w:rPr>
                <w:t>CAMPO &amp; DCHC-MPO</w:t>
              </w:r>
            </w:sdtContent>
          </w:sdt>
          <w:r w:rsidR="00D40B8A" w:rsidRPr="00B21726">
            <w:t xml:space="preserve"> | </w:t>
          </w:r>
          <w:sdt>
            <w:sdtPr>
              <w:id w:val="-989392954"/>
            </w:sdtPr>
            <w:sdtContent>
              <w:r w:rsidR="00D40B8A">
                <w:t>Triangle Rail Study</w:t>
              </w:r>
            </w:sdtContent>
          </w:sdt>
        </w:p>
        <w:p w14:paraId="35D1B343" w14:textId="12DF9933" w:rsidR="00D40B8A" w:rsidRPr="007C49EF" w:rsidRDefault="00D40B8A" w:rsidP="00D4645C">
          <w:pPr>
            <w:pStyle w:val="HDRHeader"/>
            <w:jc w:val="right"/>
          </w:pPr>
          <w:r>
            <w:fldChar w:fldCharType="begin"/>
          </w:r>
          <w:r>
            <w:instrText xml:space="preserve"> IF </w:instrText>
          </w:r>
          <w:fldSimple w:instr="STYLEREF  &quot;Heading 1&quot;  \* MERGEFORMAT">
            <w:r w:rsidR="00AB1ABE">
              <w:instrText>Recommended Future Studies</w:instrText>
            </w:r>
          </w:fldSimple>
          <w:r>
            <w:instrText xml:space="preserve"> = </w:instrText>
          </w:r>
          <w:r>
            <w:rPr>
              <w:rFonts w:cstheme="minorHAnsi"/>
            </w:rPr>
            <w:instrText>"</w:instrText>
          </w:r>
          <w:r>
            <w:instrText>Error! No text of specified style in document.</w:instrText>
          </w:r>
          <w:r>
            <w:rPr>
              <w:rFonts w:cstheme="minorHAnsi"/>
            </w:rPr>
            <w:instrText>"</w:instrText>
          </w:r>
          <w:r>
            <w:instrText xml:space="preserve"> </w:instrText>
          </w:r>
          <w:r>
            <w:rPr>
              <w:rFonts w:cstheme="minorHAnsi"/>
            </w:rPr>
            <w:instrText>"</w:instrText>
          </w:r>
          <w:r>
            <w:instrText>Please use Heading 1 in document to update header content</w:instrText>
          </w:r>
          <w:r>
            <w:rPr>
              <w:rFonts w:cstheme="minorHAnsi"/>
            </w:rPr>
            <w:instrText>"</w:instrText>
          </w:r>
          <w:r>
            <w:instrText xml:space="preserve"> </w:instrText>
          </w:r>
          <w:fldSimple w:instr="STYLEREF  &quot;Heading 1&quot;  \* MERGEFORMAT">
            <w:r w:rsidR="00AB1ABE">
              <w:instrText>Recommended Future Studies</w:instrText>
            </w:r>
          </w:fldSimple>
          <w:r>
            <w:instrText xml:space="preserve"> </w:instrText>
          </w:r>
          <w:r>
            <w:fldChar w:fldCharType="separate"/>
          </w:r>
          <w:r w:rsidR="00AB1ABE">
            <w:t>Recommended Future Studies</w:t>
          </w:r>
          <w:r>
            <w:fldChar w:fldCharType="end"/>
          </w:r>
        </w:p>
      </w:tc>
      <w:tc>
        <w:tcPr>
          <w:tcW w:w="1008" w:type="dxa"/>
        </w:tcPr>
        <w:p w14:paraId="48D6ED5A" w14:textId="77777777" w:rsidR="00D40B8A" w:rsidRPr="00765289" w:rsidRDefault="00D40B8A" w:rsidP="00D4645C">
          <w:pPr>
            <w:pStyle w:val="Header"/>
            <w:jc w:val="right"/>
            <w:rPr>
              <w:szCs w:val="16"/>
            </w:rPr>
          </w:pPr>
          <w:r w:rsidRPr="00765289">
            <w:rPr>
              <w:noProof/>
              <w:szCs w:val="16"/>
              <w:lang w:eastAsia="zh-CN"/>
            </w:rPr>
            <w:drawing>
              <wp:inline distT="0" distB="0" distL="0" distR="0" wp14:anchorId="0D8028D3" wp14:editId="08AAD988">
                <wp:extent cx="433909" cy="266131"/>
                <wp:effectExtent l="0" t="0" r="4445" b="635"/>
                <wp:docPr id="6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434415" cy="266442"/>
                        </a:xfrm>
                        <a:prstGeom prst="rect">
                          <a:avLst/>
                        </a:prstGeom>
                      </pic:spPr>
                    </pic:pic>
                  </a:graphicData>
                </a:graphic>
              </wp:inline>
            </w:drawing>
          </w:r>
        </w:p>
      </w:tc>
    </w:tr>
  </w:tbl>
  <w:p w14:paraId="21DCFEE1" w14:textId="77777777" w:rsidR="00D40B8A" w:rsidRDefault="00D4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302B"/>
    <w:multiLevelType w:val="hybridMultilevel"/>
    <w:tmpl w:val="4F70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9A2"/>
    <w:multiLevelType w:val="hybridMultilevel"/>
    <w:tmpl w:val="24C6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5420"/>
    <w:multiLevelType w:val="hybridMultilevel"/>
    <w:tmpl w:val="4AF4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F3726"/>
    <w:multiLevelType w:val="hybridMultilevel"/>
    <w:tmpl w:val="BE74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918C3"/>
    <w:multiLevelType w:val="hybridMultilevel"/>
    <w:tmpl w:val="6210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F3EF9"/>
    <w:multiLevelType w:val="hybridMultilevel"/>
    <w:tmpl w:val="14BCD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A08E8"/>
    <w:multiLevelType w:val="hybridMultilevel"/>
    <w:tmpl w:val="D3CA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50A6F"/>
    <w:multiLevelType w:val="hybridMultilevel"/>
    <w:tmpl w:val="F54E6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86ED4"/>
    <w:multiLevelType w:val="hybridMultilevel"/>
    <w:tmpl w:val="1E18C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02099"/>
    <w:multiLevelType w:val="hybridMultilevel"/>
    <w:tmpl w:val="AEB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43734"/>
    <w:multiLevelType w:val="hybridMultilevel"/>
    <w:tmpl w:val="25E4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648525">
    <w:abstractNumId w:val="5"/>
  </w:num>
  <w:num w:numId="2" w16cid:durableId="988172241">
    <w:abstractNumId w:val="4"/>
  </w:num>
  <w:num w:numId="3" w16cid:durableId="407272088">
    <w:abstractNumId w:val="8"/>
  </w:num>
  <w:num w:numId="4" w16cid:durableId="713382517">
    <w:abstractNumId w:val="9"/>
  </w:num>
  <w:num w:numId="5" w16cid:durableId="1655183551">
    <w:abstractNumId w:val="1"/>
  </w:num>
  <w:num w:numId="6" w16cid:durableId="834616463">
    <w:abstractNumId w:val="7"/>
  </w:num>
  <w:num w:numId="7" w16cid:durableId="1868638957">
    <w:abstractNumId w:val="2"/>
  </w:num>
  <w:num w:numId="8" w16cid:durableId="1828323550">
    <w:abstractNumId w:val="10"/>
  </w:num>
  <w:num w:numId="9" w16cid:durableId="1855654531">
    <w:abstractNumId w:val="6"/>
  </w:num>
  <w:num w:numId="10" w16cid:durableId="1797023794">
    <w:abstractNumId w:val="0"/>
  </w:num>
  <w:num w:numId="11" w16cid:durableId="275140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xsjA2NDUwMze1MDNX0lEKTi0uzszPAykwrgUAMpfxlywAAAA="/>
  </w:docVars>
  <w:rsids>
    <w:rsidRoot w:val="00D95BF6"/>
    <w:rsid w:val="00003B44"/>
    <w:rsid w:val="00007434"/>
    <w:rsid w:val="0000756B"/>
    <w:rsid w:val="0003750A"/>
    <w:rsid w:val="00064992"/>
    <w:rsid w:val="000712F5"/>
    <w:rsid w:val="0007420A"/>
    <w:rsid w:val="00074C6D"/>
    <w:rsid w:val="000A0E9C"/>
    <w:rsid w:val="000B79D6"/>
    <w:rsid w:val="000D3286"/>
    <w:rsid w:val="000D5837"/>
    <w:rsid w:val="000F30FC"/>
    <w:rsid w:val="001075EB"/>
    <w:rsid w:val="00110FC0"/>
    <w:rsid w:val="00111730"/>
    <w:rsid w:val="00111B1F"/>
    <w:rsid w:val="001126FF"/>
    <w:rsid w:val="00113158"/>
    <w:rsid w:val="00117804"/>
    <w:rsid w:val="00117CB1"/>
    <w:rsid w:val="0012654F"/>
    <w:rsid w:val="001B429F"/>
    <w:rsid w:val="001E0E24"/>
    <w:rsid w:val="001F0247"/>
    <w:rsid w:val="001F48EF"/>
    <w:rsid w:val="002258D0"/>
    <w:rsid w:val="00242634"/>
    <w:rsid w:val="00270206"/>
    <w:rsid w:val="00280D09"/>
    <w:rsid w:val="002815CC"/>
    <w:rsid w:val="002833AD"/>
    <w:rsid w:val="0028730B"/>
    <w:rsid w:val="002A3E76"/>
    <w:rsid w:val="002A406B"/>
    <w:rsid w:val="002B6EA4"/>
    <w:rsid w:val="002F4759"/>
    <w:rsid w:val="003065AE"/>
    <w:rsid w:val="0032501B"/>
    <w:rsid w:val="00330165"/>
    <w:rsid w:val="00347A34"/>
    <w:rsid w:val="00352206"/>
    <w:rsid w:val="003562E1"/>
    <w:rsid w:val="00373999"/>
    <w:rsid w:val="00374B0A"/>
    <w:rsid w:val="00384355"/>
    <w:rsid w:val="00387012"/>
    <w:rsid w:val="00390E25"/>
    <w:rsid w:val="00391DA6"/>
    <w:rsid w:val="003A1120"/>
    <w:rsid w:val="003C3E4A"/>
    <w:rsid w:val="003D3E97"/>
    <w:rsid w:val="003D629C"/>
    <w:rsid w:val="003E0C3E"/>
    <w:rsid w:val="003F6BFD"/>
    <w:rsid w:val="00415B06"/>
    <w:rsid w:val="004226E6"/>
    <w:rsid w:val="00426B60"/>
    <w:rsid w:val="0043270F"/>
    <w:rsid w:val="00440A53"/>
    <w:rsid w:val="0044418B"/>
    <w:rsid w:val="004532E8"/>
    <w:rsid w:val="00463CEC"/>
    <w:rsid w:val="00473A69"/>
    <w:rsid w:val="00473D81"/>
    <w:rsid w:val="00474389"/>
    <w:rsid w:val="004757B9"/>
    <w:rsid w:val="004823A9"/>
    <w:rsid w:val="00487244"/>
    <w:rsid w:val="00493CC4"/>
    <w:rsid w:val="004B4533"/>
    <w:rsid w:val="004C0D52"/>
    <w:rsid w:val="004C506B"/>
    <w:rsid w:val="004D7EDA"/>
    <w:rsid w:val="004F08B5"/>
    <w:rsid w:val="004F16DF"/>
    <w:rsid w:val="005202CD"/>
    <w:rsid w:val="00530B57"/>
    <w:rsid w:val="00533EF0"/>
    <w:rsid w:val="00534212"/>
    <w:rsid w:val="00536C30"/>
    <w:rsid w:val="005435DF"/>
    <w:rsid w:val="00551C30"/>
    <w:rsid w:val="005704E1"/>
    <w:rsid w:val="0058002C"/>
    <w:rsid w:val="005B214F"/>
    <w:rsid w:val="005B5C53"/>
    <w:rsid w:val="005D1967"/>
    <w:rsid w:val="005D2946"/>
    <w:rsid w:val="005D4147"/>
    <w:rsid w:val="005D5A1A"/>
    <w:rsid w:val="005F5DEC"/>
    <w:rsid w:val="00604EFD"/>
    <w:rsid w:val="00635AAD"/>
    <w:rsid w:val="006373D4"/>
    <w:rsid w:val="00647C17"/>
    <w:rsid w:val="00664A54"/>
    <w:rsid w:val="00666C4E"/>
    <w:rsid w:val="00670288"/>
    <w:rsid w:val="0067475E"/>
    <w:rsid w:val="00676B54"/>
    <w:rsid w:val="006B4556"/>
    <w:rsid w:val="006C5DEC"/>
    <w:rsid w:val="006D5AF4"/>
    <w:rsid w:val="006F1AE0"/>
    <w:rsid w:val="006F66AE"/>
    <w:rsid w:val="007211D2"/>
    <w:rsid w:val="007234C7"/>
    <w:rsid w:val="0073396F"/>
    <w:rsid w:val="00733D89"/>
    <w:rsid w:val="00740721"/>
    <w:rsid w:val="007475FF"/>
    <w:rsid w:val="0075227D"/>
    <w:rsid w:val="00774317"/>
    <w:rsid w:val="007A41C6"/>
    <w:rsid w:val="007A5348"/>
    <w:rsid w:val="007B3C27"/>
    <w:rsid w:val="007B6879"/>
    <w:rsid w:val="007C4B78"/>
    <w:rsid w:val="007D738D"/>
    <w:rsid w:val="007E2A17"/>
    <w:rsid w:val="007F0DCE"/>
    <w:rsid w:val="007F7894"/>
    <w:rsid w:val="008202ED"/>
    <w:rsid w:val="00821126"/>
    <w:rsid w:val="00831D48"/>
    <w:rsid w:val="008356ED"/>
    <w:rsid w:val="008468E0"/>
    <w:rsid w:val="00847059"/>
    <w:rsid w:val="0086791F"/>
    <w:rsid w:val="00877D88"/>
    <w:rsid w:val="008B225D"/>
    <w:rsid w:val="008B33E9"/>
    <w:rsid w:val="008E5AE2"/>
    <w:rsid w:val="008F7D87"/>
    <w:rsid w:val="009044BE"/>
    <w:rsid w:val="00920AAE"/>
    <w:rsid w:val="00920D7E"/>
    <w:rsid w:val="00925BE4"/>
    <w:rsid w:val="00930D73"/>
    <w:rsid w:val="00943A47"/>
    <w:rsid w:val="009546A5"/>
    <w:rsid w:val="00955F15"/>
    <w:rsid w:val="00971192"/>
    <w:rsid w:val="00973DAD"/>
    <w:rsid w:val="00991946"/>
    <w:rsid w:val="009B1C07"/>
    <w:rsid w:val="009B4388"/>
    <w:rsid w:val="009D5ABE"/>
    <w:rsid w:val="00A14BDC"/>
    <w:rsid w:val="00A36E48"/>
    <w:rsid w:val="00A42895"/>
    <w:rsid w:val="00A53E33"/>
    <w:rsid w:val="00A67D9D"/>
    <w:rsid w:val="00A758AA"/>
    <w:rsid w:val="00A81089"/>
    <w:rsid w:val="00A84D21"/>
    <w:rsid w:val="00A86C90"/>
    <w:rsid w:val="00A927BD"/>
    <w:rsid w:val="00A969D7"/>
    <w:rsid w:val="00AA1F26"/>
    <w:rsid w:val="00AB1ABE"/>
    <w:rsid w:val="00AB2239"/>
    <w:rsid w:val="00AC0565"/>
    <w:rsid w:val="00AE7D21"/>
    <w:rsid w:val="00B0117B"/>
    <w:rsid w:val="00B110B8"/>
    <w:rsid w:val="00B207DA"/>
    <w:rsid w:val="00B2352C"/>
    <w:rsid w:val="00B2430F"/>
    <w:rsid w:val="00B273F2"/>
    <w:rsid w:val="00B3396B"/>
    <w:rsid w:val="00B556E0"/>
    <w:rsid w:val="00B617BF"/>
    <w:rsid w:val="00B62689"/>
    <w:rsid w:val="00B70421"/>
    <w:rsid w:val="00B7673C"/>
    <w:rsid w:val="00B871F0"/>
    <w:rsid w:val="00BB0EB9"/>
    <w:rsid w:val="00BC0E87"/>
    <w:rsid w:val="00BC2410"/>
    <w:rsid w:val="00BD5741"/>
    <w:rsid w:val="00BE4DDD"/>
    <w:rsid w:val="00BF67E5"/>
    <w:rsid w:val="00BF794B"/>
    <w:rsid w:val="00C04CB3"/>
    <w:rsid w:val="00C346F3"/>
    <w:rsid w:val="00C356E8"/>
    <w:rsid w:val="00C452CC"/>
    <w:rsid w:val="00C46C6E"/>
    <w:rsid w:val="00C4747E"/>
    <w:rsid w:val="00C71681"/>
    <w:rsid w:val="00C76E5F"/>
    <w:rsid w:val="00C775B6"/>
    <w:rsid w:val="00C86531"/>
    <w:rsid w:val="00C959E7"/>
    <w:rsid w:val="00CA41AA"/>
    <w:rsid w:val="00CB4D44"/>
    <w:rsid w:val="00CC3CE9"/>
    <w:rsid w:val="00CF615B"/>
    <w:rsid w:val="00CF7703"/>
    <w:rsid w:val="00D06B8F"/>
    <w:rsid w:val="00D14001"/>
    <w:rsid w:val="00D177DF"/>
    <w:rsid w:val="00D26514"/>
    <w:rsid w:val="00D26FA7"/>
    <w:rsid w:val="00D40B8A"/>
    <w:rsid w:val="00D43F3B"/>
    <w:rsid w:val="00D4645C"/>
    <w:rsid w:val="00D46514"/>
    <w:rsid w:val="00D66AC5"/>
    <w:rsid w:val="00D83084"/>
    <w:rsid w:val="00D83E19"/>
    <w:rsid w:val="00D86B7C"/>
    <w:rsid w:val="00D92748"/>
    <w:rsid w:val="00D95BF6"/>
    <w:rsid w:val="00DC0A3D"/>
    <w:rsid w:val="00DE2FE2"/>
    <w:rsid w:val="00E25404"/>
    <w:rsid w:val="00E34B92"/>
    <w:rsid w:val="00E37044"/>
    <w:rsid w:val="00E72469"/>
    <w:rsid w:val="00E837C1"/>
    <w:rsid w:val="00E93947"/>
    <w:rsid w:val="00EA2885"/>
    <w:rsid w:val="00EE04FB"/>
    <w:rsid w:val="00EE0997"/>
    <w:rsid w:val="00EF74A7"/>
    <w:rsid w:val="00F2152C"/>
    <w:rsid w:val="00F23AB0"/>
    <w:rsid w:val="00F35EAF"/>
    <w:rsid w:val="00F50780"/>
    <w:rsid w:val="00F56F79"/>
    <w:rsid w:val="00F605F1"/>
    <w:rsid w:val="00F65040"/>
    <w:rsid w:val="00F81D90"/>
    <w:rsid w:val="00F86728"/>
    <w:rsid w:val="00F92E3F"/>
    <w:rsid w:val="00F97BC3"/>
    <w:rsid w:val="00FA2EE2"/>
    <w:rsid w:val="00FA51FB"/>
    <w:rsid w:val="00FB0C4D"/>
    <w:rsid w:val="00FB70CC"/>
    <w:rsid w:val="00FC483A"/>
    <w:rsid w:val="00FD2213"/>
    <w:rsid w:val="00FD5CC9"/>
    <w:rsid w:val="00FD6791"/>
    <w:rsid w:val="51FA1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7174"/>
  <w15:chartTrackingRefBased/>
  <w15:docId w15:val="{1E14724F-A753-450A-85A9-1DCD8A59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8A"/>
  </w:style>
  <w:style w:type="paragraph" w:styleId="Heading1">
    <w:name w:val="heading 1"/>
    <w:basedOn w:val="Normal"/>
    <w:next w:val="Normal"/>
    <w:link w:val="Heading1Char"/>
    <w:uiPriority w:val="9"/>
    <w:qFormat/>
    <w:rsid w:val="00D40B8A"/>
    <w:pPr>
      <w:keepNext/>
      <w:keepLines/>
      <w:spacing w:before="240" w:after="0"/>
      <w:outlineLvl w:val="0"/>
    </w:pPr>
    <w:rPr>
      <w:rFonts w:asciiTheme="majorHAnsi" w:eastAsiaTheme="majorEastAsia" w:hAnsiTheme="majorHAnsi" w:cstheme="majorBidi"/>
      <w:bCs/>
      <w:sz w:val="42"/>
      <w:szCs w:val="28"/>
    </w:rPr>
  </w:style>
  <w:style w:type="paragraph" w:styleId="Heading2">
    <w:name w:val="heading 2"/>
    <w:basedOn w:val="Normal"/>
    <w:next w:val="Normal"/>
    <w:link w:val="Heading2Char"/>
    <w:uiPriority w:val="9"/>
    <w:qFormat/>
    <w:rsid w:val="00D40B8A"/>
    <w:pPr>
      <w:keepNext/>
      <w:keepLines/>
      <w:spacing w:before="200" w:after="0"/>
      <w:outlineLvl w:val="1"/>
    </w:pPr>
    <w:rPr>
      <w:rFonts w:asciiTheme="majorHAnsi" w:eastAsiaTheme="majorEastAsia" w:hAnsiTheme="majorHAnsi" w:cstheme="majorBidi"/>
      <w:b/>
      <w:bCs/>
      <w:color w:val="55564D" w:themeColor="background2" w:themeShade="80"/>
      <w:sz w:val="30"/>
      <w:szCs w:val="26"/>
    </w:rPr>
  </w:style>
  <w:style w:type="paragraph" w:styleId="Heading3">
    <w:name w:val="heading 3"/>
    <w:basedOn w:val="Normal"/>
    <w:next w:val="Normal"/>
    <w:link w:val="Heading3Char"/>
    <w:uiPriority w:val="9"/>
    <w:qFormat/>
    <w:rsid w:val="00D40B8A"/>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D40B8A"/>
    <w:pPr>
      <w:keepNext/>
      <w:keepLines/>
      <w:spacing w:before="200" w:after="0"/>
      <w:outlineLvl w:val="3"/>
    </w:pPr>
    <w:rPr>
      <w:rFonts w:asciiTheme="majorHAnsi" w:eastAsiaTheme="majorEastAsia" w:hAnsiTheme="majorHAnsi" w:cstheme="majorBidi"/>
      <w:b/>
      <w:bCs/>
      <w:iCs/>
      <w:caps/>
      <w:color w:val="55564D" w:themeColor="background2" w:themeShade="80"/>
      <w:sz w:val="18"/>
    </w:rPr>
  </w:style>
  <w:style w:type="paragraph" w:styleId="Heading5">
    <w:name w:val="heading 5"/>
    <w:basedOn w:val="Normal"/>
    <w:next w:val="Normal"/>
    <w:link w:val="Heading5Char"/>
    <w:uiPriority w:val="9"/>
    <w:qFormat/>
    <w:rsid w:val="00D40B8A"/>
    <w:pPr>
      <w:keepLines/>
      <w:spacing w:before="200" w:after="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qFormat/>
    <w:rsid w:val="00D40B8A"/>
    <w:pPr>
      <w:keepLines/>
      <w:spacing w:before="200" w:after="0"/>
      <w:outlineLvl w:val="5"/>
    </w:pPr>
    <w:rPr>
      <w:rFonts w:asciiTheme="majorHAnsi" w:eastAsiaTheme="majorEastAsia" w:hAnsiTheme="majorHAnsi" w:cstheme="majorBidi"/>
      <w:i/>
      <w:iCs/>
      <w:color w:val="A8A99E" w:themeColor="background2"/>
      <w:sz w:val="18"/>
    </w:rPr>
  </w:style>
  <w:style w:type="paragraph" w:styleId="Heading7">
    <w:name w:val="heading 7"/>
    <w:basedOn w:val="Normal"/>
    <w:next w:val="Normal"/>
    <w:link w:val="Heading7Char"/>
    <w:uiPriority w:val="9"/>
    <w:semiHidden/>
    <w:unhideWhenUsed/>
    <w:rsid w:val="00D95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D95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qFormat/>
    <w:rsid w:val="00D40B8A"/>
    <w:pPr>
      <w:spacing w:after="0"/>
      <w:outlineLvl w:val="8"/>
    </w:pPr>
    <w:rPr>
      <w:b/>
      <w:i/>
      <w:color w:val="A8A99E" w:themeColor="background2"/>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B8A"/>
    <w:rPr>
      <w:rFonts w:asciiTheme="majorHAnsi" w:eastAsiaTheme="majorEastAsia" w:hAnsiTheme="majorHAnsi" w:cstheme="majorBidi"/>
      <w:bCs/>
      <w:sz w:val="42"/>
      <w:szCs w:val="28"/>
    </w:rPr>
  </w:style>
  <w:style w:type="character" w:customStyle="1" w:styleId="Heading2Char">
    <w:name w:val="Heading 2 Char"/>
    <w:basedOn w:val="DefaultParagraphFont"/>
    <w:link w:val="Heading2"/>
    <w:uiPriority w:val="9"/>
    <w:rsid w:val="00D40B8A"/>
    <w:rPr>
      <w:rFonts w:asciiTheme="majorHAnsi" w:eastAsiaTheme="majorEastAsia" w:hAnsiTheme="majorHAnsi" w:cstheme="majorBidi"/>
      <w:b/>
      <w:bCs/>
      <w:color w:val="55564D" w:themeColor="background2" w:themeShade="80"/>
      <w:sz w:val="30"/>
      <w:szCs w:val="26"/>
    </w:rPr>
  </w:style>
  <w:style w:type="character" w:customStyle="1" w:styleId="Heading3Char">
    <w:name w:val="Heading 3 Char"/>
    <w:basedOn w:val="DefaultParagraphFont"/>
    <w:link w:val="Heading3"/>
    <w:uiPriority w:val="9"/>
    <w:rsid w:val="00D40B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40B8A"/>
    <w:rPr>
      <w:rFonts w:asciiTheme="majorHAnsi" w:eastAsiaTheme="majorEastAsia" w:hAnsiTheme="majorHAnsi" w:cstheme="majorBidi"/>
      <w:b/>
      <w:bCs/>
      <w:iCs/>
      <w:caps/>
      <w:color w:val="55564D" w:themeColor="background2" w:themeShade="80"/>
      <w:sz w:val="18"/>
    </w:rPr>
  </w:style>
  <w:style w:type="character" w:customStyle="1" w:styleId="Heading5Char">
    <w:name w:val="Heading 5 Char"/>
    <w:basedOn w:val="DefaultParagraphFont"/>
    <w:link w:val="Heading5"/>
    <w:uiPriority w:val="9"/>
    <w:rsid w:val="00D40B8A"/>
    <w:rPr>
      <w:rFonts w:asciiTheme="majorHAnsi" w:eastAsiaTheme="majorEastAsia" w:hAnsiTheme="majorHAnsi" w:cstheme="majorBidi"/>
      <w:b/>
      <w:sz w:val="18"/>
    </w:rPr>
  </w:style>
  <w:style w:type="character" w:customStyle="1" w:styleId="Heading6Char">
    <w:name w:val="Heading 6 Char"/>
    <w:basedOn w:val="DefaultParagraphFont"/>
    <w:link w:val="Heading6"/>
    <w:uiPriority w:val="9"/>
    <w:rsid w:val="00D40B8A"/>
    <w:rPr>
      <w:rFonts w:asciiTheme="majorHAnsi" w:eastAsiaTheme="majorEastAsia" w:hAnsiTheme="majorHAnsi" w:cstheme="majorBidi"/>
      <w:i/>
      <w:iCs/>
      <w:color w:val="A8A99E" w:themeColor="background2"/>
      <w:sz w:val="18"/>
    </w:rPr>
  </w:style>
  <w:style w:type="character" w:customStyle="1" w:styleId="Heading7Char">
    <w:name w:val="Heading 7 Char"/>
    <w:basedOn w:val="DefaultParagraphFont"/>
    <w:link w:val="Heading7"/>
    <w:uiPriority w:val="9"/>
    <w:semiHidden/>
    <w:rsid w:val="00D95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40B8A"/>
    <w:rPr>
      <w:b/>
      <w:i/>
      <w:color w:val="A8A99E" w:themeColor="background2"/>
      <w:sz w:val="17"/>
    </w:rPr>
  </w:style>
  <w:style w:type="paragraph" w:styleId="Title">
    <w:name w:val="Title"/>
    <w:basedOn w:val="Normal"/>
    <w:next w:val="Normal"/>
    <w:link w:val="TitleChar"/>
    <w:uiPriority w:val="10"/>
    <w:rsid w:val="00D95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95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D95BF6"/>
    <w:pPr>
      <w:spacing w:before="160"/>
      <w:jc w:val="center"/>
    </w:pPr>
    <w:rPr>
      <w:i/>
      <w:iCs/>
      <w:color w:val="404040" w:themeColor="text1" w:themeTint="BF"/>
    </w:rPr>
  </w:style>
  <w:style w:type="character" w:customStyle="1" w:styleId="QuoteChar">
    <w:name w:val="Quote Char"/>
    <w:basedOn w:val="DefaultParagraphFont"/>
    <w:link w:val="Quote"/>
    <w:uiPriority w:val="29"/>
    <w:rsid w:val="00D95BF6"/>
    <w:rPr>
      <w:i/>
      <w:iCs/>
      <w:color w:val="404040" w:themeColor="text1" w:themeTint="BF"/>
    </w:rPr>
  </w:style>
  <w:style w:type="paragraph" w:styleId="ListParagraph">
    <w:name w:val="List Paragraph"/>
    <w:basedOn w:val="Normal"/>
    <w:uiPriority w:val="34"/>
    <w:rsid w:val="00D95BF6"/>
    <w:pPr>
      <w:ind w:left="720"/>
      <w:contextualSpacing/>
    </w:pPr>
  </w:style>
  <w:style w:type="character" w:styleId="IntenseEmphasis">
    <w:name w:val="Intense Emphasis"/>
    <w:basedOn w:val="DefaultParagraphFont"/>
    <w:uiPriority w:val="21"/>
    <w:rsid w:val="00D95BF6"/>
    <w:rPr>
      <w:i/>
      <w:iCs/>
      <w:color w:val="317187" w:themeColor="accent1" w:themeShade="BF"/>
    </w:rPr>
  </w:style>
  <w:style w:type="paragraph" w:styleId="IntenseQuote">
    <w:name w:val="Intense Quote"/>
    <w:basedOn w:val="Normal"/>
    <w:next w:val="Normal"/>
    <w:link w:val="IntenseQuoteChar"/>
    <w:uiPriority w:val="30"/>
    <w:rsid w:val="00D95BF6"/>
    <w:pPr>
      <w:pBdr>
        <w:top w:val="single" w:sz="4" w:space="10" w:color="317187" w:themeColor="accent1" w:themeShade="BF"/>
        <w:bottom w:val="single" w:sz="4" w:space="10" w:color="317187" w:themeColor="accent1" w:themeShade="BF"/>
      </w:pBdr>
      <w:spacing w:before="360" w:after="360"/>
      <w:ind w:left="864" w:right="864"/>
      <w:jc w:val="center"/>
    </w:pPr>
    <w:rPr>
      <w:i/>
      <w:iCs/>
      <w:color w:val="317187" w:themeColor="accent1" w:themeShade="BF"/>
    </w:rPr>
  </w:style>
  <w:style w:type="character" w:customStyle="1" w:styleId="IntenseQuoteChar">
    <w:name w:val="Intense Quote Char"/>
    <w:basedOn w:val="DefaultParagraphFont"/>
    <w:link w:val="IntenseQuote"/>
    <w:uiPriority w:val="30"/>
    <w:rsid w:val="00D95BF6"/>
    <w:rPr>
      <w:i/>
      <w:iCs/>
      <w:color w:val="317187" w:themeColor="accent1" w:themeShade="BF"/>
    </w:rPr>
  </w:style>
  <w:style w:type="character" w:styleId="IntenseReference">
    <w:name w:val="Intense Reference"/>
    <w:basedOn w:val="DefaultParagraphFont"/>
    <w:uiPriority w:val="32"/>
    <w:rsid w:val="00D95BF6"/>
    <w:rPr>
      <w:b/>
      <w:bCs/>
      <w:smallCaps/>
      <w:color w:val="317187" w:themeColor="accent1" w:themeShade="BF"/>
      <w:spacing w:val="5"/>
    </w:rPr>
  </w:style>
  <w:style w:type="paragraph" w:customStyle="1" w:styleId="12pt">
    <w:name w:val="12pt"/>
    <w:basedOn w:val="Normal"/>
    <w:uiPriority w:val="1"/>
    <w:qFormat/>
    <w:rsid w:val="00D40B8A"/>
    <w:rPr>
      <w:sz w:val="24"/>
    </w:rPr>
  </w:style>
  <w:style w:type="paragraph" w:customStyle="1" w:styleId="10pt">
    <w:name w:val="10pt"/>
    <w:basedOn w:val="Normal"/>
    <w:uiPriority w:val="1"/>
    <w:qFormat/>
    <w:rsid w:val="00D40B8A"/>
    <w:rPr>
      <w:sz w:val="20"/>
    </w:rPr>
  </w:style>
  <w:style w:type="character" w:customStyle="1" w:styleId="Affiliations">
    <w:name w:val="Affiliations"/>
    <w:basedOn w:val="DefaultParagraphFont"/>
    <w:uiPriority w:val="10"/>
    <w:semiHidden/>
    <w:unhideWhenUsed/>
    <w:qFormat/>
    <w:rsid w:val="00D40B8A"/>
    <w:rPr>
      <w:rFonts w:ascii="Arial" w:hAnsi="Arial"/>
      <w:caps/>
      <w:smallCaps w:val="0"/>
      <w:color w:val="FFFFFF" w:themeColor="background1"/>
      <w:sz w:val="24"/>
    </w:rPr>
  </w:style>
  <w:style w:type="paragraph" w:customStyle="1" w:styleId="DividerTitle">
    <w:name w:val="Divider Title"/>
    <w:basedOn w:val="Title"/>
    <w:uiPriority w:val="11"/>
    <w:semiHidden/>
    <w:unhideWhenUsed/>
    <w:qFormat/>
    <w:rsid w:val="00D40B8A"/>
    <w:pPr>
      <w:spacing w:before="200" w:after="120"/>
      <w:contextualSpacing w:val="0"/>
    </w:pPr>
    <w:rPr>
      <w:rFonts w:ascii="Arial Narrow" w:eastAsiaTheme="minorHAnsi" w:hAnsi="Arial Narrow" w:cstheme="minorBidi"/>
      <w:spacing w:val="0"/>
      <w:kern w:val="0"/>
      <w:sz w:val="44"/>
      <w:szCs w:val="48"/>
    </w:rPr>
  </w:style>
  <w:style w:type="paragraph" w:customStyle="1" w:styleId="Divider">
    <w:name w:val="Divider #"/>
    <w:basedOn w:val="DividerTitle"/>
    <w:uiPriority w:val="11"/>
    <w:semiHidden/>
    <w:unhideWhenUsed/>
    <w:qFormat/>
    <w:rsid w:val="00D40B8A"/>
    <w:rPr>
      <w:color w:val="000000" w:themeColor="text1"/>
      <w:sz w:val="220"/>
    </w:rPr>
  </w:style>
  <w:style w:type="paragraph" w:customStyle="1" w:styleId="BibliographyAuthor">
    <w:name w:val="BibliographyAuthor"/>
    <w:basedOn w:val="Bibliography"/>
    <w:uiPriority w:val="37"/>
    <w:semiHidden/>
    <w:unhideWhenUsed/>
    <w:qFormat/>
    <w:rsid w:val="00D40B8A"/>
    <w:pPr>
      <w:keepNext/>
      <w:keepLines/>
    </w:pPr>
    <w:rPr>
      <w:b/>
    </w:rPr>
  </w:style>
  <w:style w:type="paragraph" w:styleId="Bibliography">
    <w:name w:val="Bibliography"/>
    <w:basedOn w:val="Normal"/>
    <w:next w:val="Normal"/>
    <w:uiPriority w:val="37"/>
    <w:semiHidden/>
    <w:unhideWhenUsed/>
    <w:rsid w:val="00D40B8A"/>
  </w:style>
  <w:style w:type="paragraph" w:customStyle="1" w:styleId="HDRFooter">
    <w:name w:val="HDR Footer"/>
    <w:basedOn w:val="Normal"/>
    <w:uiPriority w:val="19"/>
    <w:qFormat/>
    <w:rsid w:val="00D40B8A"/>
    <w:pPr>
      <w:tabs>
        <w:tab w:val="center" w:pos="4680"/>
        <w:tab w:val="right" w:pos="9360"/>
      </w:tabs>
      <w:spacing w:after="0" w:line="240" w:lineRule="auto"/>
    </w:pPr>
    <w:rPr>
      <w:color w:val="54585A" w:themeColor="text2"/>
      <w:sz w:val="16"/>
    </w:rPr>
  </w:style>
  <w:style w:type="paragraph" w:styleId="Caption">
    <w:name w:val="caption"/>
    <w:basedOn w:val="Normal"/>
    <w:next w:val="Normal"/>
    <w:uiPriority w:val="35"/>
    <w:semiHidden/>
    <w:unhideWhenUsed/>
    <w:qFormat/>
    <w:rsid w:val="00D40B8A"/>
    <w:pPr>
      <w:spacing w:line="240" w:lineRule="auto"/>
    </w:pPr>
    <w:rPr>
      <w:b/>
      <w:bCs/>
      <w:color w:val="000000" w:themeColor="text1"/>
      <w:sz w:val="18"/>
      <w:szCs w:val="18"/>
    </w:rPr>
  </w:style>
  <w:style w:type="paragraph" w:styleId="NoSpacing">
    <w:name w:val="No Spacing"/>
    <w:link w:val="NoSpacingChar"/>
    <w:uiPriority w:val="1"/>
    <w:qFormat/>
    <w:rsid w:val="00D40B8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40B8A"/>
    <w:rPr>
      <w:rFonts w:eastAsiaTheme="minorEastAsia"/>
      <w:lang w:eastAsia="ja-JP"/>
    </w:rPr>
  </w:style>
  <w:style w:type="paragraph" w:styleId="TOCHeading">
    <w:name w:val="TOC Heading"/>
    <w:basedOn w:val="Heading1"/>
    <w:next w:val="Normal"/>
    <w:uiPriority w:val="39"/>
    <w:semiHidden/>
    <w:unhideWhenUsed/>
    <w:qFormat/>
    <w:rsid w:val="00D40B8A"/>
    <w:pPr>
      <w:outlineLvl w:val="9"/>
    </w:pPr>
    <w:rPr>
      <w:b/>
      <w:sz w:val="28"/>
    </w:rPr>
  </w:style>
  <w:style w:type="paragraph" w:styleId="Header">
    <w:name w:val="header"/>
    <w:basedOn w:val="Normal"/>
    <w:link w:val="HeaderChar"/>
    <w:uiPriority w:val="99"/>
    <w:unhideWhenUsed/>
    <w:rsid w:val="00D4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B8A"/>
  </w:style>
  <w:style w:type="paragraph" w:styleId="Footer">
    <w:name w:val="footer"/>
    <w:basedOn w:val="Normal"/>
    <w:link w:val="FooterChar"/>
    <w:uiPriority w:val="99"/>
    <w:unhideWhenUsed/>
    <w:rsid w:val="00D4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B8A"/>
  </w:style>
  <w:style w:type="character" w:styleId="PlaceholderText">
    <w:name w:val="Placeholder Text"/>
    <w:basedOn w:val="DefaultParagraphFont"/>
    <w:uiPriority w:val="99"/>
    <w:semiHidden/>
    <w:rsid w:val="00D40B8A"/>
    <w:rPr>
      <w:color w:val="808080"/>
    </w:rPr>
  </w:style>
  <w:style w:type="table" w:customStyle="1" w:styleId="HDRFormTable">
    <w:name w:val="HDR Form Table"/>
    <w:basedOn w:val="TableNormal"/>
    <w:uiPriority w:val="99"/>
    <w:rsid w:val="00D40B8A"/>
    <w:pPr>
      <w:spacing w:after="0" w:line="240" w:lineRule="auto"/>
    </w:pPr>
    <w:rPr>
      <w:sz w:val="18"/>
    </w:rPr>
    <w:tblPr/>
  </w:style>
  <w:style w:type="paragraph" w:customStyle="1" w:styleId="HDRHeader">
    <w:name w:val="HDR Header"/>
    <w:basedOn w:val="Header"/>
    <w:uiPriority w:val="19"/>
    <w:rsid w:val="00D40B8A"/>
    <w:rPr>
      <w:noProof/>
      <w:color w:val="000000" w:themeColor="text1"/>
      <w:sz w:val="16"/>
    </w:rPr>
  </w:style>
  <w:style w:type="character" w:styleId="Strong">
    <w:name w:val="Strong"/>
    <w:basedOn w:val="DefaultParagraphFont"/>
    <w:uiPriority w:val="22"/>
    <w:rsid w:val="00D40B8A"/>
    <w:rPr>
      <w:b/>
      <w:bCs/>
    </w:rPr>
  </w:style>
  <w:style w:type="paragraph" w:styleId="Revision">
    <w:name w:val="Revision"/>
    <w:hidden/>
    <w:uiPriority w:val="99"/>
    <w:semiHidden/>
    <w:rsid w:val="008F7D87"/>
    <w:pPr>
      <w:spacing w:after="0" w:line="240" w:lineRule="auto"/>
    </w:pPr>
  </w:style>
  <w:style w:type="character" w:styleId="CommentReference">
    <w:name w:val="annotation reference"/>
    <w:basedOn w:val="DefaultParagraphFont"/>
    <w:uiPriority w:val="99"/>
    <w:semiHidden/>
    <w:unhideWhenUsed/>
    <w:rsid w:val="00CB4D44"/>
    <w:rPr>
      <w:sz w:val="16"/>
      <w:szCs w:val="16"/>
    </w:rPr>
  </w:style>
  <w:style w:type="paragraph" w:styleId="CommentText">
    <w:name w:val="annotation text"/>
    <w:basedOn w:val="Normal"/>
    <w:link w:val="CommentTextChar"/>
    <w:uiPriority w:val="99"/>
    <w:unhideWhenUsed/>
    <w:rsid w:val="00CB4D44"/>
    <w:pPr>
      <w:spacing w:line="240" w:lineRule="auto"/>
    </w:pPr>
    <w:rPr>
      <w:sz w:val="20"/>
      <w:szCs w:val="20"/>
    </w:rPr>
  </w:style>
  <w:style w:type="character" w:customStyle="1" w:styleId="CommentTextChar">
    <w:name w:val="Comment Text Char"/>
    <w:basedOn w:val="DefaultParagraphFont"/>
    <w:link w:val="CommentText"/>
    <w:uiPriority w:val="99"/>
    <w:rsid w:val="00CB4D44"/>
    <w:rPr>
      <w:sz w:val="20"/>
      <w:szCs w:val="20"/>
    </w:rPr>
  </w:style>
  <w:style w:type="paragraph" w:styleId="CommentSubject">
    <w:name w:val="annotation subject"/>
    <w:basedOn w:val="CommentText"/>
    <w:next w:val="CommentText"/>
    <w:link w:val="CommentSubjectChar"/>
    <w:uiPriority w:val="99"/>
    <w:semiHidden/>
    <w:unhideWhenUsed/>
    <w:rsid w:val="00CB4D44"/>
    <w:rPr>
      <w:b/>
      <w:bCs/>
    </w:rPr>
  </w:style>
  <w:style w:type="character" w:customStyle="1" w:styleId="CommentSubjectChar">
    <w:name w:val="Comment Subject Char"/>
    <w:basedOn w:val="CommentTextChar"/>
    <w:link w:val="CommentSubject"/>
    <w:uiPriority w:val="99"/>
    <w:semiHidden/>
    <w:rsid w:val="00CB4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DR_WordTheme">
  <a:themeElements>
    <a:clrScheme name="HDR_WORD-BrandingBright">
      <a:dk1>
        <a:sysClr val="windowText" lastClr="000000"/>
      </a:dk1>
      <a:lt1>
        <a:sysClr val="window" lastClr="FFFFFF"/>
      </a:lt1>
      <a:dk2>
        <a:srgbClr val="54585A"/>
      </a:dk2>
      <a:lt2>
        <a:srgbClr val="A8A99E"/>
      </a:lt2>
      <a:accent1>
        <a:srgbClr val="4298B5"/>
      </a:accent1>
      <a:accent2>
        <a:srgbClr val="C8102E"/>
      </a:accent2>
      <a:accent3>
        <a:srgbClr val="CA005D"/>
      </a:accent3>
      <a:accent4>
        <a:srgbClr val="FF8200"/>
      </a:accent4>
      <a:accent5>
        <a:srgbClr val="FFC600"/>
      </a:accent5>
      <a:accent6>
        <a:srgbClr val="78BE20"/>
      </a:accent6>
      <a:hlink>
        <a:srgbClr val="00549F"/>
      </a:hlink>
      <a:folHlink>
        <a:srgbClr val="6B1F7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2403db-75b1-4aeb-b390-511d5b781d8d" xsi:nil="true"/>
    <lcf76f155ced4ddcb4097134ff3c332f xmlns="c5c686a1-d4a3-44e6-bdc5-657d7574ec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27FB936E39C14C8AFC822A6036A796" ma:contentTypeVersion="11" ma:contentTypeDescription="Create a new document." ma:contentTypeScope="" ma:versionID="7c44c3e5f2d561b2ce0059ba3d6d3927">
  <xsd:schema xmlns:xsd="http://www.w3.org/2001/XMLSchema" xmlns:xs="http://www.w3.org/2001/XMLSchema" xmlns:p="http://schemas.microsoft.com/office/2006/metadata/properties" xmlns:ns2="c5c686a1-d4a3-44e6-bdc5-657d7574ecac" xmlns:ns3="7d2403db-75b1-4aeb-b390-511d5b781d8d" targetNamespace="http://schemas.microsoft.com/office/2006/metadata/properties" ma:root="true" ma:fieldsID="46ee9cde5a0bc9a2f0dbad282358161c" ns2:_="" ns3:_="">
    <xsd:import namespace="c5c686a1-d4a3-44e6-bdc5-657d7574ecac"/>
    <xsd:import namespace="7d2403db-75b1-4aeb-b390-511d5b781d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686a1-d4a3-44e6-bdc5-657d7574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403db-75b1-4aeb-b390-511d5b781d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9140a3-f9b2-48e0-aab0-e4f9e545f5f7}" ma:internalName="TaxCatchAll" ma:showField="CatchAllData" ma:web="7d2403db-75b1-4aeb-b390-511d5b781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80684-403C-4DA2-B1E6-FB44A249E026}">
  <ds:schemaRefs>
    <ds:schemaRef ds:uri="http://schemas.microsoft.com/office/2006/metadata/properties"/>
    <ds:schemaRef ds:uri="http://schemas.microsoft.com/office/infopath/2007/PartnerControls"/>
    <ds:schemaRef ds:uri="7d2403db-75b1-4aeb-b390-511d5b781d8d"/>
    <ds:schemaRef ds:uri="c5c686a1-d4a3-44e6-bdc5-657d7574ecac"/>
  </ds:schemaRefs>
</ds:datastoreItem>
</file>

<file path=customXml/itemProps2.xml><?xml version="1.0" encoding="utf-8"?>
<ds:datastoreItem xmlns:ds="http://schemas.openxmlformats.org/officeDocument/2006/customXml" ds:itemID="{C43D676D-2680-450D-B4EE-A9012785B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686a1-d4a3-44e6-bdc5-657d7574ecac"/>
    <ds:schemaRef ds:uri="7d2403db-75b1-4aeb-b390-511d5b781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7B85A-5829-4993-99D1-1D217B9A650E}">
  <ds:schemaRefs>
    <ds:schemaRef ds:uri="http://schemas.microsoft.com/sharepoint/v3/contenttype/forms"/>
  </ds:schemaRefs>
</ds:datastoreItem>
</file>

<file path=docMetadata/LabelInfo.xml><?xml version="1.0" encoding="utf-8"?>
<clbl:labelList xmlns:clbl="http://schemas.microsoft.com/office/2020/mipLabelMetadata">
  <clbl:label id="{3667e201-cbdc-48b3-9b42-5d2d3f16e2a9}" enabled="0" method="" siteId="{3667e201-cbdc-48b3-9b42-5d2d3f16e2a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Patrick</dc:creator>
  <cp:keywords/>
  <dc:description/>
  <cp:lastModifiedBy>McDonough, Patrick</cp:lastModifiedBy>
  <cp:revision>30</cp:revision>
  <dcterms:created xsi:type="dcterms:W3CDTF">2025-06-29T23:56:00Z</dcterms:created>
  <dcterms:modified xsi:type="dcterms:W3CDTF">2025-06-30T21:15:00Z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0x0101007927FB936E39C14C8AFC822A6036A796</vt:lpwstr>
  </property>
  <property fmtid="{D5CDD505-2E9C-101B-9397-08002B2CF9AE}" pid="3" name="MediaServiceImageTags">
    <vt:lpwstr/>
  </property>
</Properties>
</file>